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C" w:rsidRPr="00334D06" w:rsidRDefault="00BC425C" w:rsidP="00334D06">
      <w:pPr>
        <w:pStyle w:val="Nadpis2"/>
        <w:spacing w:before="120"/>
        <w:rPr>
          <w:i w:val="0"/>
          <w:iCs w:val="0"/>
        </w:rPr>
      </w:pPr>
      <w:bookmarkStart w:id="0" w:name="_GoBack"/>
      <w:bookmarkEnd w:id="0"/>
      <w:r w:rsidRPr="00334D06">
        <w:rPr>
          <w:i w:val="0"/>
          <w:iCs w:val="0"/>
        </w:rPr>
        <w:t>Pravidla pro mezinárodní tituly FIDE</w:t>
      </w:r>
    </w:p>
    <w:p w:rsidR="00BC425C" w:rsidRPr="00334D06" w:rsidRDefault="00BC425C">
      <w:pPr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BC425C" w:rsidRDefault="00BC425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Schváleno roku 1982 Valným shromážděním a upraveno Valným shromážděním v letech 1984 až 2012, tyto pravidla jsou platná od 1.7.2013.</w:t>
      </w:r>
    </w:p>
    <w:p w:rsidR="00BC425C" w:rsidRDefault="00BC425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0 Úvod </w:t>
      </w:r>
    </w:p>
    <w:p w:rsidR="00BC425C" w:rsidRDefault="00BC425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ind w:left="560" w:hanging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0.1 </w:t>
      </w:r>
      <w:r>
        <w:rPr>
          <w:sz w:val="22"/>
          <w:szCs w:val="22"/>
        </w:rPr>
        <w:tab/>
        <w:t>FIDE uznává pouze tituly uvedené pod 0.3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C425C" w:rsidRDefault="00BC425C">
      <w:pPr>
        <w:ind w:left="840" w:hanging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0.2 </w:t>
      </w:r>
      <w:r>
        <w:rPr>
          <w:color w:val="auto"/>
          <w:sz w:val="22"/>
          <w:szCs w:val="22"/>
        </w:rPr>
        <w:tab/>
        <w:t>Tato pravidla mohou být změněna pouze Valným shromážděním výhradně na základě doporučení K</w:t>
      </w:r>
      <w:r w:rsidR="0041689F">
        <w:rPr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>a</w:t>
      </w:r>
      <w:r w:rsidR="0041689F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ifikační komise</w:t>
      </w:r>
      <w:r w:rsidR="0041689F">
        <w:rPr>
          <w:color w:val="auto"/>
          <w:sz w:val="22"/>
          <w:szCs w:val="22"/>
        </w:rPr>
        <w:t xml:space="preserve"> (QC)</w:t>
      </w:r>
      <w:r>
        <w:rPr>
          <w:color w:val="auto"/>
          <w:sz w:val="22"/>
          <w:szCs w:val="22"/>
        </w:rPr>
        <w:t xml:space="preserve">. </w:t>
      </w:r>
    </w:p>
    <w:p w:rsidR="00BC425C" w:rsidRDefault="00BC425C">
      <w:pPr>
        <w:pStyle w:val="Zkladntext2"/>
        <w:ind w:left="1120" w:hanging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0.21 </w:t>
      </w:r>
      <w:r>
        <w:rPr>
          <w:sz w:val="22"/>
          <w:szCs w:val="22"/>
        </w:rPr>
        <w:tab/>
        <w:t>Tyto změny mohou být provedeny každý čtvrtý rok, počínaje rokem 2004 (pokud výbor a komise požadují naléhavou změnu).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0.22 </w:t>
      </w:r>
      <w:r>
        <w:rPr>
          <w:color w:val="auto"/>
          <w:sz w:val="22"/>
          <w:szCs w:val="22"/>
        </w:rPr>
        <w:tab/>
        <w:t>Všechny změny nabývají účinnost od 1. července roku, následujícího po rozhodnutí Valného shromáždění. Platí pro turnaje, které startují tohoto dne nebo později.</w:t>
      </w:r>
    </w:p>
    <w:p w:rsidR="00BC425C" w:rsidRDefault="00BC425C">
      <w:pPr>
        <w:ind w:left="1560" w:hanging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0.3 </w:t>
      </w:r>
      <w:r>
        <w:rPr>
          <w:color w:val="auto"/>
          <w:sz w:val="22"/>
          <w:szCs w:val="22"/>
        </w:rPr>
        <w:tab/>
        <w:t xml:space="preserve">Mezinárodní tituly FIDE spravuje </w:t>
      </w:r>
      <w:r w:rsidR="0041689F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komise jako orgán, který rozhoduje v konečné instanci. Tituly jsou: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0.31 </w:t>
      </w:r>
      <w:r>
        <w:rPr>
          <w:color w:val="auto"/>
          <w:sz w:val="22"/>
          <w:szCs w:val="22"/>
        </w:rPr>
        <w:tab/>
        <w:t xml:space="preserve">Tituly pro praktickou hru (podle 1.14), posuzovacím orgánem je </w:t>
      </w:r>
      <w:r w:rsidR="0041689F">
        <w:rPr>
          <w:color w:val="auto"/>
          <w:sz w:val="22"/>
          <w:szCs w:val="22"/>
        </w:rPr>
        <w:t>Klasifikační</w:t>
      </w:r>
      <w:r>
        <w:rPr>
          <w:color w:val="auto"/>
          <w:sz w:val="22"/>
          <w:szCs w:val="22"/>
        </w:rPr>
        <w:t xml:space="preserve"> komise FIDE:  </w:t>
      </w:r>
    </w:p>
    <w:p w:rsidR="00BC425C" w:rsidRDefault="00BC425C">
      <w:pPr>
        <w:ind w:left="1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velmistr (GM), mezinárodní mistr (IM), mistr FIDE (FM), kandidát mistra (CM), velmistryně (WGM), mezinárodní mistryně (WIM), mistryně FIDE (WFM), kandidátka mistra (WCM).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BC425C" w:rsidRDefault="00BC425C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0.4 </w:t>
      </w:r>
      <w:r>
        <w:rPr>
          <w:color w:val="auto"/>
          <w:sz w:val="22"/>
          <w:szCs w:val="22"/>
        </w:rPr>
        <w:tab/>
        <w:t xml:space="preserve">Tituly platí doživotně ode dne udělení.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0.41 </w:t>
      </w:r>
      <w:r>
        <w:rPr>
          <w:color w:val="auto"/>
          <w:sz w:val="22"/>
          <w:szCs w:val="22"/>
        </w:rPr>
        <w:tab/>
        <w:t xml:space="preserve">Užívání titulu FIDE podléhá etickým principům a může být odebrán na základě doporučení </w:t>
      </w:r>
      <w:r w:rsidR="0041689F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nebo Etické komise s konečným projednáním na Valném shromáždění.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0.42 </w:t>
      </w:r>
      <w:r>
        <w:rPr>
          <w:color w:val="auto"/>
          <w:sz w:val="22"/>
          <w:szCs w:val="22"/>
        </w:rPr>
        <w:tab/>
        <w:t xml:space="preserve">Titul je oficiálně platný od data, kdy byly splněny všechny požadavky. Aby titul byl schválen na základě žádosti, musí být tato žádost a další relevantní FIDE dokumenty publikovány na webových stránkách FIDE minimálně 60 dnů. Pro tituly registrované automaticky viz článek 0.5.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0.43 </w:t>
      </w:r>
      <w:r>
        <w:rPr>
          <w:color w:val="auto"/>
          <w:sz w:val="22"/>
          <w:szCs w:val="22"/>
        </w:rPr>
        <w:tab/>
        <w:t xml:space="preserve">Titul může být použit pro výsledky jeho soupeřů pouze v turnajích startujících po schválení titulu (výjimka: viz 1.15).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0.44 </w:t>
      </w:r>
      <w:r>
        <w:rPr>
          <w:color w:val="auto"/>
          <w:sz w:val="22"/>
          <w:szCs w:val="22"/>
        </w:rPr>
        <w:tab/>
        <w:t>V situaci, kdy se například jedná o určení věku hráče, kdy dosáhl titulu, se titul považuje za dosažený, když byl</w:t>
      </w:r>
      <w:r w:rsidR="00896DFF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dosažena poslední norma nebo jsou splněné všechny ratingové požadavky anebo rozhoduje pozdější datum.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0.5  </w:t>
      </w:r>
      <w:r>
        <w:rPr>
          <w:color w:val="auto"/>
          <w:sz w:val="22"/>
          <w:szCs w:val="22"/>
        </w:rPr>
        <w:tab/>
        <w:t xml:space="preserve">Definice použitých termínů </w:t>
      </w:r>
    </w:p>
    <w:p w:rsidR="00BC425C" w:rsidRDefault="00BC425C">
      <w:pPr>
        <w:pStyle w:val="Default"/>
        <w:tabs>
          <w:tab w:val="left" w:pos="8505"/>
        </w:tabs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V níže následujícím textu jsou použité speciální definice. </w:t>
      </w:r>
    </w:p>
    <w:p w:rsidR="00BC425C" w:rsidRDefault="00BC425C">
      <w:pPr>
        <w:pStyle w:val="Default"/>
        <w:ind w:left="1120" w:hanging="560"/>
        <w:jc w:val="both"/>
        <w:rPr>
          <w:b/>
          <w:bCs/>
          <w:color w:val="auto"/>
          <w:sz w:val="22"/>
          <w:szCs w:val="2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Výkonový rating (performance</w:t>
      </w:r>
      <w:r>
        <w:rPr>
          <w:color w:val="auto"/>
          <w:sz w:val="22"/>
          <w:szCs w:val="22"/>
        </w:rPr>
        <w:t xml:space="preserve">) je založen na výsledku hráče a průměrném ratingu soupeřů (viz 1.48). </w:t>
      </w:r>
    </w:p>
    <w:p w:rsidR="001F6FD4" w:rsidRPr="001F6FD4" w:rsidRDefault="001F6FD4">
      <w:pPr>
        <w:pStyle w:val="Default"/>
        <w:ind w:left="1120" w:hanging="560"/>
        <w:jc w:val="both"/>
        <w:rPr>
          <w:b/>
          <w:bCs/>
          <w:color w:val="auto"/>
          <w:sz w:val="12"/>
          <w:szCs w:val="1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Výkonový rating (performance)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pro titulární výsledek</w:t>
      </w:r>
      <w:r>
        <w:rPr>
          <w:color w:val="auto"/>
          <w:sz w:val="22"/>
          <w:szCs w:val="22"/>
        </w:rPr>
        <w:t xml:space="preserve"> (například GM performance) je výsledek, který dává výkonový rating definován v článku </w:t>
      </w:r>
      <w:smartTag w:uri="urn:schemas-microsoft-com:office:smarttags" w:element="metricconverter">
        <w:smartTagPr>
          <w:attr w:name="ProductID" w:val="1.48 a"/>
        </w:smartTagPr>
        <w:r>
          <w:rPr>
            <w:color w:val="auto"/>
            <w:sz w:val="22"/>
            <w:szCs w:val="22"/>
          </w:rPr>
          <w:t>1.48 a</w:t>
        </w:r>
      </w:smartTag>
      <w:r>
        <w:rPr>
          <w:color w:val="auto"/>
          <w:sz w:val="22"/>
          <w:szCs w:val="22"/>
        </w:rPr>
        <w:t xml:space="preserve"> 1.49 v závislosti na minimálním průměrném ratingu soupeřů, je nutné vzít v úvahu článek 1.46 pro daný titul. Například, pro GM performance, průměrný rating soupeřů ≥2380, a performance ≥2600. To může být například dosaženo výsledkem 7 bodů z 9 partií.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GM performance je ≥ 2600 proti soupeřům s průměrným ratingem ≥ 2380. </w:t>
      </w:r>
    </w:p>
    <w:p w:rsidR="00BC425C" w:rsidRDefault="00BC425C">
      <w:pPr>
        <w:pStyle w:val="Default"/>
        <w:ind w:left="113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 performance je ≥ 2450 proti soupeřům s průměrným ratingem ≥ 2230.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WGM performance je ≥ 2400 proti soupeřům s průměrným ratingem ≥ 2180.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WIM performance je ≥ 2250 proti soupeřům s průměrným ratingem ≥ 2030. </w:t>
      </w:r>
    </w:p>
    <w:p w:rsidR="001F6FD4" w:rsidRPr="001F6FD4" w:rsidRDefault="001F6FD4">
      <w:pPr>
        <w:pStyle w:val="Default"/>
        <w:ind w:left="1120" w:hanging="560"/>
        <w:jc w:val="both"/>
        <w:rPr>
          <w:b/>
          <w:bCs/>
          <w:color w:val="auto"/>
          <w:sz w:val="12"/>
          <w:szCs w:val="1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Norma na titul (title norm) </w:t>
      </w:r>
      <w:r>
        <w:rPr>
          <w:color w:val="auto"/>
          <w:sz w:val="22"/>
          <w:szCs w:val="22"/>
        </w:rPr>
        <w:t xml:space="preserve">obsahuje výkonový rating pro titulární výsledek společně se všemi dalšími požadavky, jako jsou náležité počty soupeřů s tituly a různých federací, což přesně stanovují články 1.42 až 1.47. </w:t>
      </w:r>
    </w:p>
    <w:p w:rsidR="001F6FD4" w:rsidRPr="001F6FD4" w:rsidRDefault="001F6FD4">
      <w:pPr>
        <w:pStyle w:val="Default"/>
        <w:ind w:left="1120" w:hanging="560"/>
        <w:jc w:val="both"/>
        <w:rPr>
          <w:b/>
          <w:bCs/>
          <w:color w:val="auto"/>
          <w:sz w:val="12"/>
          <w:szCs w:val="1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Registrované tituly </w:t>
      </w:r>
      <w:r>
        <w:rPr>
          <w:color w:val="auto"/>
          <w:sz w:val="22"/>
          <w:szCs w:val="22"/>
        </w:rPr>
        <w:t xml:space="preserve">(automatické tituly) jsou tituly získané dosažením určitého místa nebo výsledku v turnaji (například vítězství nebo dosažení 50% výsledku v turnaji). Na základě žádosti federace hráče a potvrzení </w:t>
      </w:r>
      <w:r w:rsidR="0041689F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komise jsou takové tituly udělovány FIDE automaticky. </w:t>
      </w:r>
    </w:p>
    <w:p w:rsidR="00BC425C" w:rsidRDefault="00BC425C">
      <w:pPr>
        <w:pStyle w:val="Default"/>
        <w:ind w:left="84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0.6 </w:t>
      </w:r>
      <w:r>
        <w:rPr>
          <w:color w:val="auto"/>
          <w:sz w:val="22"/>
          <w:szCs w:val="22"/>
        </w:rPr>
        <w:tab/>
        <w:t>Udělení titulů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0.61 </w:t>
      </w:r>
      <w:r>
        <w:rPr>
          <w:color w:val="auto"/>
          <w:sz w:val="22"/>
          <w:szCs w:val="22"/>
        </w:rPr>
        <w:tab/>
        <w:t xml:space="preserve">Tituly se udělují za určité výsledky v určitých mistrovských soutěžích; nebo se udělují za dosažení ratingu, stanoveného v těchto pravidlech. Tyto tituly jsou schvalovány předsedou </w:t>
      </w:r>
      <w:r w:rsidR="009E32F6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komise na pokyn Sekretariátu FIDE. Poté jsou definitivně udělený FIDE. 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0.62</w:t>
      </w:r>
      <w:r>
        <w:rPr>
          <w:color w:val="auto"/>
          <w:sz w:val="22"/>
          <w:szCs w:val="22"/>
        </w:rPr>
        <w:tab/>
        <w:t xml:space="preserve">Tituly jsou rovněž udělovány na základě žádosti, ve kterých jsou uvedené dosažené normy dle postačujícího počtu partií. Tyto tituly se udělují Valným shromážděním na základě doporučení </w:t>
      </w:r>
      <w:r w:rsidR="009E32F6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komise, že daný uchazeč splnil požadavky. Prezidentská nebo Výkonná rada může udělit pouze tituly v jasných případech po konzultaci s předsedou </w:t>
      </w:r>
      <w:r w:rsidR="009E32F6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komise. </w:t>
      </w:r>
    </w:p>
    <w:p w:rsidR="00BC425C" w:rsidRDefault="00BC425C">
      <w:pPr>
        <w:pStyle w:val="Default"/>
        <w:jc w:val="both"/>
        <w:rPr>
          <w:color w:val="auto"/>
          <w:sz w:val="22"/>
          <w:szCs w:val="22"/>
        </w:rPr>
      </w:pPr>
    </w:p>
    <w:p w:rsidR="00BC425C" w:rsidRDefault="00BC425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1.0 Požadavky na tituly, uvedené v 0.31 </w:t>
      </w:r>
    </w:p>
    <w:p w:rsidR="00BC425C" w:rsidRDefault="00BC425C">
      <w:pPr>
        <w:pStyle w:val="Default"/>
        <w:ind w:left="84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 </w:t>
      </w:r>
      <w:r>
        <w:rPr>
          <w:color w:val="auto"/>
          <w:sz w:val="22"/>
          <w:szCs w:val="22"/>
        </w:rPr>
        <w:tab/>
        <w:t xml:space="preserve">Administrativa </w:t>
      </w:r>
    </w:p>
    <w:p w:rsidR="00BC425C" w:rsidRDefault="00BC425C" w:rsidP="00FF461B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1.11 </w:t>
      </w:r>
      <w:r>
        <w:rPr>
          <w:color w:val="auto"/>
          <w:sz w:val="22"/>
          <w:szCs w:val="22"/>
        </w:rPr>
        <w:tab/>
        <w:t>Hra se řídí Pravidly šachu a Turnajovými pravidly FIDE. Turnaje, ve kterých složení turnaje (bez souhlasu Klasifikační komise) je měněno v průběhu turnaje nebo takové, kde hráči mají v průběhu kola nebo při nasazení různé podmínky, nejsou platné. Turnaj musí být registrován na serveru FIDE alespoň 30 dnů předem</w:t>
      </w:r>
      <w:r w:rsidR="00FF461B">
        <w:rPr>
          <w:color w:val="auto"/>
          <w:sz w:val="22"/>
          <w:szCs w:val="22"/>
        </w:rPr>
        <w:t>.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1.12 </w:t>
      </w:r>
      <w:r>
        <w:rPr>
          <w:color w:val="auto"/>
          <w:sz w:val="22"/>
          <w:szCs w:val="22"/>
        </w:rPr>
        <w:tab/>
        <w:t xml:space="preserve">V jednom dni se nesmí hrát více než 12 hodin. To je </w:t>
      </w:r>
      <w:r w:rsidR="00E97AC2">
        <w:rPr>
          <w:color w:val="auto"/>
          <w:sz w:val="22"/>
          <w:szCs w:val="22"/>
        </w:rPr>
        <w:t>vypočteno</w:t>
      </w:r>
      <w:r>
        <w:rPr>
          <w:color w:val="auto"/>
          <w:sz w:val="22"/>
          <w:szCs w:val="22"/>
        </w:rPr>
        <w:t xml:space="preserve"> na základě 60-ti tahové partie, ačkoliv partie hrané s využitím přídavku (inkrementu) můžou trvat déle. </w:t>
      </w:r>
    </w:p>
    <w:p w:rsidR="006D2D2C" w:rsidRDefault="006D2D2C" w:rsidP="006D2D2C">
      <w:pPr>
        <w:pStyle w:val="Default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1.13</w:t>
      </w:r>
      <w:r>
        <w:rPr>
          <w:color w:val="auto"/>
          <w:sz w:val="22"/>
          <w:szCs w:val="22"/>
        </w:rPr>
        <w:tab/>
        <w:t xml:space="preserve">Denně se nehrají více než 2 kola. </w:t>
      </w:r>
      <w:r w:rsidRPr="006D2D2C">
        <w:rPr>
          <w:color w:val="auto"/>
          <w:sz w:val="22"/>
          <w:szCs w:val="22"/>
        </w:rPr>
        <w:t>Bez pří</w:t>
      </w:r>
      <w:r w:rsidR="00C17F0C">
        <w:rPr>
          <w:color w:val="auto"/>
          <w:sz w:val="22"/>
          <w:szCs w:val="22"/>
        </w:rPr>
        <w:t xml:space="preserve">davku je </w:t>
      </w:r>
      <w:r w:rsidRPr="006D2D2C">
        <w:rPr>
          <w:color w:val="auto"/>
          <w:sz w:val="22"/>
          <w:szCs w:val="22"/>
        </w:rPr>
        <w:t xml:space="preserve">minimální doba 2 hodiny na prvních 40 tahů + 30 minut do konce </w:t>
      </w:r>
      <w:r w:rsidR="00C17F0C">
        <w:rPr>
          <w:color w:val="auto"/>
          <w:sz w:val="22"/>
          <w:szCs w:val="22"/>
        </w:rPr>
        <w:t>partie</w:t>
      </w:r>
      <w:r w:rsidRPr="006D2D2C">
        <w:rPr>
          <w:color w:val="auto"/>
          <w:sz w:val="22"/>
          <w:szCs w:val="22"/>
        </w:rPr>
        <w:t>. S</w:t>
      </w:r>
      <w:r w:rsidR="00C17F0C">
        <w:rPr>
          <w:color w:val="auto"/>
          <w:sz w:val="22"/>
          <w:szCs w:val="22"/>
        </w:rPr>
        <w:t xml:space="preserve"> přídavkem </w:t>
      </w:r>
      <w:r w:rsidRPr="006D2D2C">
        <w:rPr>
          <w:color w:val="auto"/>
          <w:sz w:val="22"/>
          <w:szCs w:val="22"/>
        </w:rPr>
        <w:t xml:space="preserve">minimálně 30 sekund </w:t>
      </w:r>
      <w:r w:rsidR="00C17F0C">
        <w:rPr>
          <w:color w:val="auto"/>
          <w:sz w:val="22"/>
          <w:szCs w:val="22"/>
        </w:rPr>
        <w:t>n</w:t>
      </w:r>
      <w:r w:rsidRPr="006D2D2C">
        <w:rPr>
          <w:color w:val="auto"/>
          <w:sz w:val="22"/>
          <w:szCs w:val="22"/>
        </w:rPr>
        <w:t xml:space="preserve">a každý tah </w:t>
      </w:r>
      <w:r w:rsidR="00C17F0C">
        <w:rPr>
          <w:color w:val="auto"/>
          <w:sz w:val="22"/>
          <w:szCs w:val="22"/>
        </w:rPr>
        <w:t xml:space="preserve">je </w:t>
      </w:r>
      <w:r w:rsidRPr="006D2D2C">
        <w:rPr>
          <w:color w:val="auto"/>
          <w:sz w:val="22"/>
          <w:szCs w:val="22"/>
        </w:rPr>
        <w:t xml:space="preserve">minimální doba 90 minut </w:t>
      </w:r>
      <w:r w:rsidR="00C17F0C">
        <w:rPr>
          <w:color w:val="auto"/>
          <w:sz w:val="22"/>
          <w:szCs w:val="22"/>
        </w:rPr>
        <w:t>na celou partii</w:t>
      </w:r>
      <w:r w:rsidRPr="006D2D2C">
        <w:rPr>
          <w:color w:val="auto"/>
          <w:sz w:val="22"/>
          <w:szCs w:val="22"/>
        </w:rPr>
        <w:t xml:space="preserve">, </w:t>
      </w:r>
      <w:r w:rsidR="005C000C">
        <w:rPr>
          <w:color w:val="auto"/>
          <w:sz w:val="22"/>
          <w:szCs w:val="22"/>
        </w:rPr>
        <w:t>nehledě</w:t>
      </w:r>
      <w:r w:rsidR="00FE3A56">
        <w:rPr>
          <w:color w:val="auto"/>
          <w:sz w:val="22"/>
          <w:szCs w:val="22"/>
        </w:rPr>
        <w:t xml:space="preserve"> na přídavek</w:t>
      </w:r>
      <w:r w:rsidRPr="006D2D2C">
        <w:rPr>
          <w:color w:val="auto"/>
          <w:sz w:val="22"/>
          <w:szCs w:val="22"/>
        </w:rPr>
        <w:t>.</w:t>
      </w:r>
    </w:p>
    <w:p w:rsidR="00B77370" w:rsidRDefault="00B77370" w:rsidP="00B77370">
      <w:pPr>
        <w:pStyle w:val="Default"/>
        <w:ind w:left="1418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1.13a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B77370">
        <w:rPr>
          <w:color w:val="auto"/>
          <w:sz w:val="22"/>
          <w:szCs w:val="22"/>
        </w:rPr>
        <w:t xml:space="preserve">V žádosti o titul GM na základě norem, </w:t>
      </w:r>
      <w:r w:rsidR="000F553D">
        <w:rPr>
          <w:color w:val="auto"/>
          <w:sz w:val="22"/>
          <w:szCs w:val="22"/>
        </w:rPr>
        <w:t xml:space="preserve">musí být </w:t>
      </w:r>
      <w:r w:rsidRPr="00B77370">
        <w:rPr>
          <w:color w:val="auto"/>
          <w:sz w:val="22"/>
          <w:szCs w:val="22"/>
        </w:rPr>
        <w:t xml:space="preserve">alespoň jedna </w:t>
      </w:r>
      <w:r w:rsidR="00FE3A56" w:rsidRPr="00B77370">
        <w:rPr>
          <w:color w:val="auto"/>
          <w:sz w:val="22"/>
          <w:szCs w:val="22"/>
        </w:rPr>
        <w:t>norma dosažena</w:t>
      </w:r>
      <w:r w:rsidR="00FE3A56">
        <w:rPr>
          <w:color w:val="auto"/>
          <w:sz w:val="22"/>
          <w:szCs w:val="22"/>
        </w:rPr>
        <w:t xml:space="preserve"> v turnaji, kdy se hraje pouze jen jedno kolo za den </w:t>
      </w:r>
      <w:r w:rsidRPr="00B77370">
        <w:rPr>
          <w:color w:val="auto"/>
          <w:sz w:val="22"/>
          <w:szCs w:val="22"/>
        </w:rPr>
        <w:t>po dobu minimálně 3 dnů.</w:t>
      </w:r>
    </w:p>
    <w:p w:rsidR="00B77370" w:rsidRPr="00B77370" w:rsidRDefault="00B77370" w:rsidP="00B77370">
      <w:pPr>
        <w:pStyle w:val="Default"/>
        <w:ind w:left="1418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1.13b</w:t>
      </w:r>
      <w:r>
        <w:rPr>
          <w:color w:val="auto"/>
          <w:sz w:val="22"/>
          <w:szCs w:val="22"/>
        </w:rPr>
        <w:tab/>
      </w:r>
      <w:r w:rsidRPr="00B77370">
        <w:rPr>
          <w:color w:val="auto"/>
          <w:sz w:val="22"/>
          <w:szCs w:val="22"/>
        </w:rPr>
        <w:t>V</w:t>
      </w:r>
      <w:r w:rsidR="005C000C">
        <w:rPr>
          <w:color w:val="auto"/>
          <w:sz w:val="22"/>
          <w:szCs w:val="22"/>
        </w:rPr>
        <w:t xml:space="preserve"> jakémkoliv titulárním turnaji musí být hrací tempo </w:t>
      </w:r>
      <w:r w:rsidRPr="00B77370">
        <w:rPr>
          <w:color w:val="auto"/>
          <w:sz w:val="22"/>
          <w:szCs w:val="22"/>
        </w:rPr>
        <w:t xml:space="preserve">a nastavení </w:t>
      </w:r>
      <w:r w:rsidR="005C000C">
        <w:rPr>
          <w:color w:val="auto"/>
          <w:sz w:val="22"/>
          <w:szCs w:val="22"/>
        </w:rPr>
        <w:t>hodin</w:t>
      </w:r>
      <w:r w:rsidRPr="00B77370">
        <w:rPr>
          <w:color w:val="auto"/>
          <w:sz w:val="22"/>
          <w:szCs w:val="22"/>
        </w:rPr>
        <w:t xml:space="preserve"> pro všechny hráče stejné (např. v případě, že </w:t>
      </w:r>
      <w:r w:rsidR="005C000C">
        <w:rPr>
          <w:color w:val="auto"/>
          <w:sz w:val="22"/>
          <w:szCs w:val="22"/>
        </w:rPr>
        <w:t xml:space="preserve">hrací tempo je </w:t>
      </w:r>
      <w:r w:rsidR="00A118C4">
        <w:rPr>
          <w:color w:val="auto"/>
          <w:sz w:val="22"/>
          <w:szCs w:val="22"/>
        </w:rPr>
        <w:t>stanoveno</w:t>
      </w:r>
      <w:r w:rsidR="005C000C">
        <w:rPr>
          <w:color w:val="auto"/>
          <w:sz w:val="22"/>
          <w:szCs w:val="22"/>
        </w:rPr>
        <w:t xml:space="preserve"> s</w:t>
      </w:r>
      <w:r w:rsidR="00693406">
        <w:rPr>
          <w:color w:val="auto"/>
          <w:sz w:val="22"/>
          <w:szCs w:val="22"/>
        </w:rPr>
        <w:t> inkrementem,</w:t>
      </w:r>
      <w:r w:rsidRPr="00B77370">
        <w:rPr>
          <w:color w:val="auto"/>
          <w:sz w:val="22"/>
          <w:szCs w:val="22"/>
        </w:rPr>
        <w:t xml:space="preserve"> musí všichni hráči </w:t>
      </w:r>
      <w:r w:rsidR="00693406">
        <w:rPr>
          <w:color w:val="auto"/>
          <w:sz w:val="22"/>
          <w:szCs w:val="22"/>
        </w:rPr>
        <w:t>hrát s inkrementem,</w:t>
      </w:r>
      <w:r w:rsidRPr="00B77370">
        <w:rPr>
          <w:color w:val="auto"/>
          <w:sz w:val="22"/>
          <w:szCs w:val="22"/>
        </w:rPr>
        <w:t xml:space="preserve"> je-li </w:t>
      </w:r>
      <w:r w:rsidR="00A118C4">
        <w:rPr>
          <w:color w:val="auto"/>
          <w:sz w:val="22"/>
          <w:szCs w:val="22"/>
        </w:rPr>
        <w:t>stanovena hra s</w:t>
      </w:r>
      <w:r w:rsidR="00693406">
        <w:rPr>
          <w:color w:val="auto"/>
          <w:sz w:val="22"/>
          <w:szCs w:val="22"/>
        </w:rPr>
        <w:t xml:space="preserve"> delay mode</w:t>
      </w:r>
      <w:r w:rsidR="00A118C4">
        <w:rPr>
          <w:color w:val="auto"/>
          <w:sz w:val="22"/>
          <w:szCs w:val="22"/>
        </w:rPr>
        <w:t>m</w:t>
      </w:r>
      <w:r w:rsidRPr="00B77370">
        <w:rPr>
          <w:color w:val="auto"/>
          <w:sz w:val="22"/>
          <w:szCs w:val="22"/>
        </w:rPr>
        <w:t xml:space="preserve">, musí všichni hráči </w:t>
      </w:r>
      <w:r w:rsidR="00693406">
        <w:rPr>
          <w:color w:val="auto"/>
          <w:sz w:val="22"/>
          <w:szCs w:val="22"/>
        </w:rPr>
        <w:t>hrát s delay modem, není-</w:t>
      </w:r>
      <w:r w:rsidRPr="00B77370">
        <w:rPr>
          <w:color w:val="auto"/>
          <w:sz w:val="22"/>
          <w:szCs w:val="22"/>
        </w:rPr>
        <w:t xml:space="preserve">li </w:t>
      </w:r>
      <w:r w:rsidR="00693406">
        <w:rPr>
          <w:color w:val="auto"/>
          <w:sz w:val="22"/>
          <w:szCs w:val="22"/>
        </w:rPr>
        <w:t xml:space="preserve">stanoven </w:t>
      </w:r>
      <w:r w:rsidR="00A118C4">
        <w:rPr>
          <w:color w:val="auto"/>
          <w:sz w:val="22"/>
          <w:szCs w:val="22"/>
        </w:rPr>
        <w:t>inkrement nebo delay mode</w:t>
      </w:r>
      <w:r w:rsidRPr="00B77370">
        <w:rPr>
          <w:color w:val="auto"/>
          <w:sz w:val="22"/>
          <w:szCs w:val="22"/>
        </w:rPr>
        <w:t xml:space="preserve">, pak všichni hráči musí </w:t>
      </w:r>
      <w:r w:rsidR="00A118C4">
        <w:rPr>
          <w:color w:val="auto"/>
          <w:sz w:val="22"/>
          <w:szCs w:val="22"/>
        </w:rPr>
        <w:t>hrát bez inkrementu a bez delay modu</w:t>
      </w:r>
      <w:r w:rsidRPr="00B77370">
        <w:rPr>
          <w:color w:val="auto"/>
          <w:sz w:val="22"/>
          <w:szCs w:val="22"/>
        </w:rPr>
        <w:t xml:space="preserve">). </w:t>
      </w:r>
      <w:r w:rsidR="00A118C4">
        <w:rPr>
          <w:color w:val="auto"/>
          <w:sz w:val="22"/>
          <w:szCs w:val="22"/>
        </w:rPr>
        <w:t>Nesmí být použito různé (</w:t>
      </w:r>
      <w:r w:rsidR="00D162D1">
        <w:rPr>
          <w:color w:val="auto"/>
          <w:sz w:val="22"/>
          <w:szCs w:val="22"/>
        </w:rPr>
        <w:t>smíšené</w:t>
      </w:r>
      <w:r w:rsidR="00A118C4">
        <w:rPr>
          <w:color w:val="auto"/>
          <w:sz w:val="22"/>
          <w:szCs w:val="22"/>
        </w:rPr>
        <w:t xml:space="preserve">) </w:t>
      </w:r>
      <w:r w:rsidRPr="00B77370">
        <w:rPr>
          <w:color w:val="auto"/>
          <w:sz w:val="22"/>
          <w:szCs w:val="22"/>
        </w:rPr>
        <w:t>nastavení hodin (</w:t>
      </w:r>
      <w:r w:rsidR="00A118C4">
        <w:rPr>
          <w:color w:val="auto"/>
          <w:sz w:val="22"/>
          <w:szCs w:val="22"/>
        </w:rPr>
        <w:t>s inkrementem</w:t>
      </w:r>
      <w:r w:rsidRPr="00B77370">
        <w:rPr>
          <w:color w:val="auto"/>
          <w:sz w:val="22"/>
          <w:szCs w:val="22"/>
        </w:rPr>
        <w:t xml:space="preserve">, </w:t>
      </w:r>
      <w:r w:rsidR="00A118C4">
        <w:rPr>
          <w:color w:val="auto"/>
          <w:sz w:val="22"/>
          <w:szCs w:val="22"/>
        </w:rPr>
        <w:t>s delay modem</w:t>
      </w:r>
      <w:r w:rsidRPr="00B77370">
        <w:rPr>
          <w:color w:val="auto"/>
          <w:sz w:val="22"/>
          <w:szCs w:val="22"/>
        </w:rPr>
        <w:t>, vůbec žádné</w:t>
      </w:r>
      <w:r w:rsidR="00A118C4">
        <w:rPr>
          <w:color w:val="auto"/>
          <w:sz w:val="22"/>
          <w:szCs w:val="22"/>
        </w:rPr>
        <w:t xml:space="preserve"> nastavení dodatkového času)</w:t>
      </w:r>
      <w:r w:rsidRPr="00B77370">
        <w:rPr>
          <w:color w:val="auto"/>
          <w:sz w:val="22"/>
          <w:szCs w:val="22"/>
        </w:rPr>
        <w:t>.</w:t>
      </w:r>
    </w:p>
    <w:p w:rsidR="00B77370" w:rsidRPr="00B77370" w:rsidRDefault="000C73AA" w:rsidP="00B77370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 w:rsidRPr="00B77370">
        <w:rPr>
          <w:color w:val="auto"/>
          <w:sz w:val="22"/>
          <w:szCs w:val="22"/>
        </w:rPr>
        <w:t xml:space="preserve">1.14 </w:t>
      </w:r>
      <w:r>
        <w:rPr>
          <w:color w:val="auto"/>
          <w:sz w:val="22"/>
          <w:szCs w:val="22"/>
        </w:rPr>
        <w:tab/>
      </w:r>
      <w:r w:rsidRPr="00B77370">
        <w:rPr>
          <w:color w:val="auto"/>
          <w:sz w:val="22"/>
          <w:szCs w:val="22"/>
        </w:rPr>
        <w:t>Ligy</w:t>
      </w:r>
      <w:r w:rsidR="00B77370" w:rsidRPr="00B77370">
        <w:rPr>
          <w:color w:val="auto"/>
          <w:sz w:val="22"/>
          <w:szCs w:val="22"/>
        </w:rPr>
        <w:t xml:space="preserve"> a národní mistrovství družstev můž</w:t>
      </w:r>
      <w:r w:rsidR="008933C1">
        <w:rPr>
          <w:color w:val="auto"/>
          <w:sz w:val="22"/>
          <w:szCs w:val="22"/>
        </w:rPr>
        <w:t>ou</w:t>
      </w:r>
      <w:r w:rsidR="00B77370" w:rsidRPr="00B77370">
        <w:rPr>
          <w:color w:val="auto"/>
          <w:sz w:val="22"/>
          <w:szCs w:val="22"/>
        </w:rPr>
        <w:t xml:space="preserve"> trvat déle než 90 dnů, ale ne více než jeden rok. </w:t>
      </w:r>
      <w:r w:rsidR="008933C1">
        <w:rPr>
          <w:color w:val="auto"/>
          <w:sz w:val="22"/>
          <w:szCs w:val="22"/>
        </w:rPr>
        <w:t>Obvykle je povolen</w:t>
      </w:r>
      <w:r w:rsidR="00D162D1">
        <w:rPr>
          <w:color w:val="auto"/>
          <w:sz w:val="22"/>
          <w:szCs w:val="22"/>
        </w:rPr>
        <w:t>a</w:t>
      </w:r>
      <w:r w:rsidR="008933C1">
        <w:rPr>
          <w:color w:val="auto"/>
          <w:sz w:val="22"/>
          <w:szCs w:val="22"/>
        </w:rPr>
        <w:t xml:space="preserve"> pro turnaje jednotlivců </w:t>
      </w:r>
      <w:r w:rsidR="00DA037C">
        <w:rPr>
          <w:color w:val="auto"/>
          <w:sz w:val="22"/>
          <w:szCs w:val="22"/>
        </w:rPr>
        <w:t>lhůta maximálně 90 dnů</w:t>
      </w:r>
      <w:r w:rsidR="00B77370" w:rsidRPr="00B77370">
        <w:rPr>
          <w:color w:val="auto"/>
          <w:sz w:val="22"/>
          <w:szCs w:val="22"/>
        </w:rPr>
        <w:t xml:space="preserve">, ale předseda QC může dát souhlas </w:t>
      </w:r>
      <w:r w:rsidR="000F553D">
        <w:rPr>
          <w:color w:val="auto"/>
          <w:sz w:val="22"/>
          <w:szCs w:val="22"/>
        </w:rPr>
        <w:t xml:space="preserve">turnajům i </w:t>
      </w:r>
      <w:r w:rsidR="00D162D1">
        <w:rPr>
          <w:color w:val="auto"/>
          <w:sz w:val="22"/>
          <w:szCs w:val="22"/>
        </w:rPr>
        <w:t xml:space="preserve">s </w:t>
      </w:r>
      <w:r w:rsidR="000F553D">
        <w:rPr>
          <w:color w:val="auto"/>
          <w:sz w:val="22"/>
          <w:szCs w:val="22"/>
        </w:rPr>
        <w:t>delší dob</w:t>
      </w:r>
      <w:r w:rsidR="00D162D1">
        <w:rPr>
          <w:color w:val="auto"/>
          <w:sz w:val="22"/>
          <w:szCs w:val="22"/>
        </w:rPr>
        <w:t>o</w:t>
      </w:r>
      <w:r w:rsidR="000F553D">
        <w:rPr>
          <w:color w:val="auto"/>
          <w:sz w:val="22"/>
          <w:szCs w:val="22"/>
        </w:rPr>
        <w:t>u trvání.</w:t>
      </w:r>
      <w:r w:rsidR="00B77370" w:rsidRPr="00B77370">
        <w:rPr>
          <w:color w:val="auto"/>
          <w:sz w:val="22"/>
          <w:szCs w:val="22"/>
        </w:rPr>
        <w:t xml:space="preserve"> </w:t>
      </w:r>
    </w:p>
    <w:p w:rsidR="00B77370" w:rsidRPr="00B77370" w:rsidRDefault="00B77370" w:rsidP="00B77370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 w:rsidRPr="00B77370">
        <w:rPr>
          <w:color w:val="auto"/>
          <w:sz w:val="22"/>
          <w:szCs w:val="22"/>
        </w:rPr>
        <w:t>1.15</w:t>
      </w:r>
      <w:r w:rsidR="000C73AA">
        <w:rPr>
          <w:color w:val="auto"/>
          <w:sz w:val="22"/>
          <w:szCs w:val="22"/>
        </w:rPr>
        <w:tab/>
      </w:r>
      <w:r w:rsidRPr="00B77370">
        <w:rPr>
          <w:color w:val="auto"/>
          <w:sz w:val="22"/>
          <w:szCs w:val="22"/>
        </w:rPr>
        <w:t xml:space="preserve">V turnajích, které trvají déle než 90 dnů, </w:t>
      </w:r>
      <w:r w:rsidR="003F1C7B">
        <w:rPr>
          <w:color w:val="auto"/>
          <w:sz w:val="22"/>
          <w:szCs w:val="22"/>
        </w:rPr>
        <w:t xml:space="preserve">se použijí ty ratingy a </w:t>
      </w:r>
      <w:r w:rsidRPr="00B77370">
        <w:rPr>
          <w:color w:val="auto"/>
          <w:sz w:val="22"/>
          <w:szCs w:val="22"/>
        </w:rPr>
        <w:t xml:space="preserve">tituly </w:t>
      </w:r>
      <w:r w:rsidR="003F1C7B">
        <w:rPr>
          <w:color w:val="auto"/>
          <w:sz w:val="22"/>
          <w:szCs w:val="22"/>
        </w:rPr>
        <w:t>soupeřů</w:t>
      </w:r>
      <w:r w:rsidRPr="00B77370">
        <w:rPr>
          <w:color w:val="auto"/>
          <w:sz w:val="22"/>
          <w:szCs w:val="22"/>
        </w:rPr>
        <w:t>, kdy</w:t>
      </w:r>
      <w:r w:rsidR="003F1C7B">
        <w:rPr>
          <w:color w:val="auto"/>
          <w:sz w:val="22"/>
          <w:szCs w:val="22"/>
        </w:rPr>
        <w:t xml:space="preserve"> byly partie sehrány</w:t>
      </w:r>
      <w:r w:rsidRPr="00B77370">
        <w:rPr>
          <w:color w:val="auto"/>
          <w:sz w:val="22"/>
          <w:szCs w:val="22"/>
        </w:rPr>
        <w:t xml:space="preserve">. </w:t>
      </w:r>
    </w:p>
    <w:p w:rsidR="00BC425C" w:rsidRPr="00B77370" w:rsidRDefault="00B77370" w:rsidP="00B77370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 w:rsidRPr="00B77370">
        <w:rPr>
          <w:color w:val="auto"/>
          <w:sz w:val="22"/>
          <w:szCs w:val="22"/>
        </w:rPr>
        <w:t xml:space="preserve">1.16 </w:t>
      </w:r>
      <w:r w:rsidR="000C73AA">
        <w:rPr>
          <w:color w:val="auto"/>
          <w:sz w:val="22"/>
          <w:szCs w:val="22"/>
        </w:rPr>
        <w:tab/>
      </w:r>
      <w:r w:rsidR="007D649B">
        <w:rPr>
          <w:color w:val="auto"/>
          <w:sz w:val="22"/>
          <w:szCs w:val="22"/>
        </w:rPr>
        <w:t>Hlavním rozhodčím titulárních turnajů musí být mezinárodní rozhodčí</w:t>
      </w:r>
      <w:r w:rsidRPr="00B77370">
        <w:rPr>
          <w:color w:val="auto"/>
          <w:sz w:val="22"/>
          <w:szCs w:val="22"/>
        </w:rPr>
        <w:t xml:space="preserve"> (IA) nebo FIDE </w:t>
      </w:r>
      <w:r w:rsidR="007D649B">
        <w:rPr>
          <w:color w:val="auto"/>
          <w:sz w:val="22"/>
          <w:szCs w:val="22"/>
        </w:rPr>
        <w:t>rozhodčí</w:t>
      </w:r>
      <w:r w:rsidRPr="00B77370">
        <w:rPr>
          <w:color w:val="auto"/>
          <w:sz w:val="22"/>
          <w:szCs w:val="22"/>
        </w:rPr>
        <w:t xml:space="preserve"> (FA). </w:t>
      </w:r>
      <w:r w:rsidR="007D649B">
        <w:rPr>
          <w:color w:val="auto"/>
          <w:sz w:val="22"/>
          <w:szCs w:val="22"/>
        </w:rPr>
        <w:t xml:space="preserve">Hlavní rozhodčí může </w:t>
      </w:r>
      <w:r w:rsidR="00A73DFD">
        <w:rPr>
          <w:color w:val="auto"/>
          <w:sz w:val="22"/>
          <w:szCs w:val="22"/>
        </w:rPr>
        <w:t>ustanovit na výpomoc zástupce rozhodčího (deputy arbiter)</w:t>
      </w:r>
      <w:r w:rsidRPr="00B77370">
        <w:rPr>
          <w:color w:val="auto"/>
          <w:sz w:val="22"/>
          <w:szCs w:val="22"/>
        </w:rPr>
        <w:t>.</w:t>
      </w:r>
      <w:r w:rsidR="007D649B">
        <w:rPr>
          <w:color w:val="auto"/>
          <w:sz w:val="22"/>
          <w:szCs w:val="22"/>
        </w:rPr>
        <w:t xml:space="preserve"> </w:t>
      </w:r>
      <w:r w:rsidR="00A73DFD">
        <w:rPr>
          <w:color w:val="auto"/>
          <w:sz w:val="22"/>
          <w:szCs w:val="22"/>
        </w:rPr>
        <w:t xml:space="preserve">Rozhodčí </w:t>
      </w:r>
      <w:r w:rsidRPr="00B77370">
        <w:rPr>
          <w:color w:val="auto"/>
          <w:sz w:val="22"/>
          <w:szCs w:val="22"/>
        </w:rPr>
        <w:t xml:space="preserve">IA nebo FA musí být vždy </w:t>
      </w:r>
      <w:r w:rsidR="007D649B">
        <w:rPr>
          <w:color w:val="auto"/>
          <w:sz w:val="22"/>
          <w:szCs w:val="22"/>
        </w:rPr>
        <w:t xml:space="preserve">přítomen </w:t>
      </w:r>
      <w:r w:rsidRPr="00B77370">
        <w:rPr>
          <w:color w:val="auto"/>
          <w:sz w:val="22"/>
          <w:szCs w:val="22"/>
        </w:rPr>
        <w:t>v hrací</w:t>
      </w:r>
      <w:r w:rsidR="008933C1">
        <w:rPr>
          <w:color w:val="auto"/>
          <w:sz w:val="22"/>
          <w:szCs w:val="22"/>
        </w:rPr>
        <w:t>m</w:t>
      </w:r>
      <w:r w:rsidRPr="00B77370">
        <w:rPr>
          <w:color w:val="auto"/>
          <w:sz w:val="22"/>
          <w:szCs w:val="22"/>
        </w:rPr>
        <w:t xml:space="preserve"> </w:t>
      </w:r>
      <w:r w:rsidR="008933C1">
        <w:rPr>
          <w:color w:val="auto"/>
          <w:sz w:val="22"/>
          <w:szCs w:val="22"/>
        </w:rPr>
        <w:t>prostoru</w:t>
      </w:r>
      <w:r w:rsidRPr="00B77370">
        <w:rPr>
          <w:color w:val="auto"/>
          <w:sz w:val="22"/>
          <w:szCs w:val="22"/>
        </w:rPr>
        <w:t>.</w:t>
      </w:r>
    </w:p>
    <w:p w:rsidR="00B77370" w:rsidRDefault="00DB09E2" w:rsidP="001F6FD4">
      <w:pPr>
        <w:pStyle w:val="Default"/>
        <w:ind w:left="1134" w:hanging="567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1.17 </w:t>
      </w:r>
      <w:r>
        <w:rPr>
          <w:bCs/>
          <w:color w:val="auto"/>
          <w:sz w:val="22"/>
          <w:szCs w:val="22"/>
        </w:rPr>
        <w:tab/>
        <w:t>Rozhodčí ne</w:t>
      </w:r>
      <w:r w:rsidR="00B77370" w:rsidRPr="00B77370">
        <w:rPr>
          <w:bCs/>
          <w:color w:val="auto"/>
          <w:sz w:val="22"/>
          <w:szCs w:val="22"/>
        </w:rPr>
        <w:t>může hrát v</w:t>
      </w:r>
      <w:r>
        <w:rPr>
          <w:bCs/>
          <w:color w:val="auto"/>
          <w:sz w:val="22"/>
          <w:szCs w:val="22"/>
        </w:rPr>
        <w:t> titulárních turnajích,</w:t>
      </w:r>
      <w:r w:rsidR="00B77370" w:rsidRPr="00B77370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ani pro „doplnění“ (počtu)</w:t>
      </w:r>
      <w:r w:rsidR="00B77370" w:rsidRPr="00B77370">
        <w:rPr>
          <w:bCs/>
          <w:color w:val="auto"/>
          <w:sz w:val="22"/>
          <w:szCs w:val="22"/>
        </w:rPr>
        <w:t>.</w:t>
      </w:r>
    </w:p>
    <w:p w:rsidR="00334D06" w:rsidRDefault="00334D06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</w:p>
    <w:p w:rsidR="00BC425C" w:rsidRDefault="00BC425C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  <w:r w:rsidRPr="000E161F">
        <w:rPr>
          <w:b/>
          <w:color w:val="auto"/>
          <w:sz w:val="22"/>
          <w:szCs w:val="22"/>
        </w:rPr>
        <w:lastRenderedPageBreak/>
        <w:t xml:space="preserve">1.2 </w:t>
      </w:r>
      <w:r w:rsidRPr="000E161F">
        <w:rPr>
          <w:b/>
          <w:color w:val="auto"/>
          <w:sz w:val="22"/>
          <w:szCs w:val="22"/>
        </w:rPr>
        <w:tab/>
        <w:t xml:space="preserve">Tituly dosažené na mezinárodních mistrovstvích: </w:t>
      </w:r>
    </w:p>
    <w:p w:rsidR="000E161F" w:rsidRPr="000E161F" w:rsidRDefault="000E161F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1.21 </w:t>
      </w:r>
      <w:r>
        <w:rPr>
          <w:color w:val="auto"/>
          <w:sz w:val="22"/>
          <w:szCs w:val="22"/>
        </w:rPr>
        <w:tab/>
        <w:t>Jak je uvedeno níže, hráč může získat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(a) titul na takové soutěži nebo 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(b) získat normu. Pak je nutné splnit požadavky uvedené v 1.42 - 1.49.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(c) získat performance (výkonový rating). Pak je nutné splnit požadavky uvedené v 1.42, 1.46-1.48.</w:t>
      </w:r>
    </w:p>
    <w:p w:rsidR="0084716B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1.22 </w:t>
      </w:r>
      <w:r>
        <w:rPr>
          <w:color w:val="auto"/>
          <w:sz w:val="22"/>
          <w:szCs w:val="22"/>
        </w:rPr>
        <w:tab/>
        <w:t>Minimální počet bodů v turnaji pro každý z titulů je 35%. Znázorněný výsledek je minimálním požadavkem.</w:t>
      </w:r>
    </w:p>
    <w:p w:rsidR="002B72B5" w:rsidRPr="00CD3D66" w:rsidRDefault="00CD3D66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1.23</w:t>
      </w:r>
      <w:r>
        <w:rPr>
          <w:color w:val="auto"/>
          <w:sz w:val="22"/>
          <w:szCs w:val="22"/>
        </w:rPr>
        <w:tab/>
      </w:r>
      <w:r w:rsidRPr="00CD3D66">
        <w:rPr>
          <w:color w:val="auto"/>
          <w:sz w:val="22"/>
          <w:szCs w:val="22"/>
        </w:rPr>
        <w:t xml:space="preserve">Pro kontinentální, subkontinentální nebo schválené soutěže FIDE </w:t>
      </w:r>
      <w:r>
        <w:rPr>
          <w:color w:val="auto"/>
          <w:sz w:val="22"/>
          <w:szCs w:val="22"/>
        </w:rPr>
        <w:t>mezinárodních přidružených organizací</w:t>
      </w:r>
      <w:r w:rsidRPr="00CD3D66">
        <w:rPr>
          <w:color w:val="auto"/>
          <w:sz w:val="22"/>
          <w:szCs w:val="22"/>
        </w:rPr>
        <w:t xml:space="preserve">, </w:t>
      </w:r>
      <w:r w:rsidR="00A74B89">
        <w:rPr>
          <w:color w:val="auto"/>
          <w:sz w:val="22"/>
          <w:szCs w:val="22"/>
        </w:rPr>
        <w:t xml:space="preserve">titul nebo výsledek může být dosažen jen, když nejméně 1/3 </w:t>
      </w:r>
      <w:r w:rsidR="001B3D6D">
        <w:rPr>
          <w:color w:val="auto"/>
          <w:sz w:val="22"/>
          <w:szCs w:val="22"/>
        </w:rPr>
        <w:t xml:space="preserve"> hráčů příslušných federací se účastní soutěže. </w:t>
      </w:r>
      <w:r w:rsidR="00141D2C">
        <w:rPr>
          <w:color w:val="auto"/>
          <w:sz w:val="22"/>
          <w:szCs w:val="22"/>
        </w:rPr>
        <w:t xml:space="preserve">V turnaji musí být minimální počet </w:t>
      </w:r>
      <w:r w:rsidR="00E31594">
        <w:rPr>
          <w:color w:val="auto"/>
          <w:sz w:val="22"/>
          <w:szCs w:val="22"/>
        </w:rPr>
        <w:t xml:space="preserve">8 </w:t>
      </w:r>
      <w:r w:rsidR="00141D2C">
        <w:rPr>
          <w:color w:val="auto"/>
          <w:sz w:val="22"/>
          <w:szCs w:val="22"/>
        </w:rPr>
        <w:t>účastníků</w:t>
      </w:r>
      <w:r w:rsidR="001B3D6D">
        <w:rPr>
          <w:color w:val="auto"/>
          <w:sz w:val="22"/>
          <w:szCs w:val="22"/>
        </w:rPr>
        <w:t>.</w:t>
      </w:r>
      <w:r w:rsidR="00A74B89">
        <w:rPr>
          <w:color w:val="auto"/>
          <w:sz w:val="22"/>
          <w:szCs w:val="22"/>
        </w:rPr>
        <w:t xml:space="preserve"> </w:t>
      </w:r>
      <w:r w:rsidRPr="00CD3D66">
        <w:rPr>
          <w:color w:val="auto"/>
          <w:sz w:val="22"/>
          <w:szCs w:val="22"/>
        </w:rPr>
        <w:t>Mistrovství světa (včetně U20) IBCA, ICSC a IPCA jsou vyňaty z tohoto pravidla.</w:t>
      </w:r>
    </w:p>
    <w:p w:rsidR="00BC425C" w:rsidRDefault="00BC425C" w:rsidP="009B21EF">
      <w:pPr>
        <w:pStyle w:val="Default"/>
        <w:ind w:left="1276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1.23</w:t>
      </w:r>
      <w:r w:rsidR="009B21EF">
        <w:rPr>
          <w:color w:val="auto"/>
          <w:sz w:val="22"/>
          <w:szCs w:val="22"/>
        </w:rPr>
        <w:t xml:space="preserve">a </w:t>
      </w:r>
      <w:r w:rsidR="009B21EF">
        <w:rPr>
          <w:color w:val="auto"/>
          <w:sz w:val="22"/>
          <w:szCs w:val="22"/>
        </w:rPr>
        <w:tab/>
      </w:r>
      <w:r w:rsidR="001D5BF1" w:rsidRPr="001D5BF1">
        <w:rPr>
          <w:color w:val="auto"/>
          <w:sz w:val="22"/>
          <w:szCs w:val="22"/>
        </w:rPr>
        <w:t>Pokud jsou skupiny spojeny</w:t>
      </w:r>
      <w:r w:rsidR="001D5BF1">
        <w:rPr>
          <w:color w:val="auto"/>
          <w:sz w:val="22"/>
          <w:szCs w:val="22"/>
        </w:rPr>
        <w:t xml:space="preserve"> do </w:t>
      </w:r>
      <w:r w:rsidR="001D5BF1" w:rsidRPr="001D5BF1">
        <w:rPr>
          <w:color w:val="auto"/>
          <w:sz w:val="22"/>
          <w:szCs w:val="22"/>
        </w:rPr>
        <w:t>větší skupin</w:t>
      </w:r>
      <w:r w:rsidR="001D5BF1">
        <w:rPr>
          <w:color w:val="auto"/>
          <w:sz w:val="22"/>
          <w:szCs w:val="22"/>
        </w:rPr>
        <w:t>y</w:t>
      </w:r>
      <w:r w:rsidR="001D5BF1" w:rsidRPr="001D5BF1">
        <w:rPr>
          <w:color w:val="auto"/>
          <w:sz w:val="22"/>
          <w:szCs w:val="22"/>
        </w:rPr>
        <w:t xml:space="preserve">, pak požadavky (minimálně 8 účastníků z alespoň 3 federací) </w:t>
      </w:r>
      <w:r w:rsidR="001D5BF1">
        <w:rPr>
          <w:color w:val="auto"/>
          <w:sz w:val="22"/>
          <w:szCs w:val="22"/>
        </w:rPr>
        <w:t xml:space="preserve">se </w:t>
      </w:r>
      <w:r w:rsidR="001D5BF1" w:rsidRPr="001D5BF1">
        <w:rPr>
          <w:color w:val="auto"/>
          <w:sz w:val="22"/>
          <w:szCs w:val="22"/>
        </w:rPr>
        <w:t>v 1.22 vztahuj</w:t>
      </w:r>
      <w:r w:rsidR="009B21EF">
        <w:rPr>
          <w:color w:val="auto"/>
          <w:sz w:val="22"/>
          <w:szCs w:val="22"/>
        </w:rPr>
        <w:t>í</w:t>
      </w:r>
      <w:r w:rsidR="001D5BF1" w:rsidRPr="001D5BF1">
        <w:rPr>
          <w:color w:val="auto"/>
          <w:sz w:val="22"/>
          <w:szCs w:val="22"/>
        </w:rPr>
        <w:t xml:space="preserve"> na t</w:t>
      </w:r>
      <w:r w:rsidR="001D5BF1">
        <w:rPr>
          <w:color w:val="auto"/>
          <w:sz w:val="22"/>
          <w:szCs w:val="22"/>
        </w:rPr>
        <w:t>akto sloučenou</w:t>
      </w:r>
      <w:r w:rsidR="001D5BF1" w:rsidRPr="001D5BF1">
        <w:rPr>
          <w:color w:val="auto"/>
          <w:sz w:val="22"/>
          <w:szCs w:val="22"/>
        </w:rPr>
        <w:t xml:space="preserve"> skupin</w:t>
      </w:r>
      <w:r w:rsidR="001D5BF1">
        <w:rPr>
          <w:color w:val="auto"/>
          <w:sz w:val="22"/>
          <w:szCs w:val="22"/>
        </w:rPr>
        <w:t>u</w:t>
      </w:r>
      <w:r w:rsidR="001D5BF1" w:rsidRPr="001D5BF1">
        <w:rPr>
          <w:color w:val="auto"/>
          <w:sz w:val="22"/>
          <w:szCs w:val="22"/>
        </w:rPr>
        <w:t>. Tituly mohou být udělen</w:t>
      </w:r>
      <w:r w:rsidR="001D5BF1">
        <w:rPr>
          <w:color w:val="auto"/>
          <w:sz w:val="22"/>
          <w:szCs w:val="22"/>
        </w:rPr>
        <w:t>y</w:t>
      </w:r>
      <w:r w:rsidR="001D5BF1" w:rsidRPr="001D5BF1">
        <w:rPr>
          <w:color w:val="auto"/>
          <w:sz w:val="22"/>
          <w:szCs w:val="22"/>
        </w:rPr>
        <w:t xml:space="preserve"> nejlepší</w:t>
      </w:r>
      <w:r w:rsidR="001D5BF1">
        <w:rPr>
          <w:color w:val="auto"/>
          <w:sz w:val="22"/>
          <w:szCs w:val="22"/>
        </w:rPr>
        <w:t>mu</w:t>
      </w:r>
      <w:r w:rsidR="001D5BF1" w:rsidRPr="001D5BF1">
        <w:rPr>
          <w:color w:val="auto"/>
          <w:sz w:val="22"/>
          <w:szCs w:val="22"/>
        </w:rPr>
        <w:t xml:space="preserve"> hráči</w:t>
      </w:r>
      <w:r w:rsidR="001D5BF1">
        <w:rPr>
          <w:color w:val="auto"/>
          <w:sz w:val="22"/>
          <w:szCs w:val="22"/>
        </w:rPr>
        <w:t xml:space="preserve"> (nejlepším hráčům)</w:t>
      </w:r>
      <w:r w:rsidR="001D5BF1" w:rsidRPr="001D5BF1">
        <w:rPr>
          <w:color w:val="auto"/>
          <w:sz w:val="22"/>
          <w:szCs w:val="22"/>
        </w:rPr>
        <w:t xml:space="preserve"> z podskupin, za předpokladu, že podskupina má minimálně 5 účastníků z alespoň 2 federací a hráč </w:t>
      </w:r>
      <w:r w:rsidR="009B21EF">
        <w:rPr>
          <w:color w:val="auto"/>
          <w:sz w:val="22"/>
          <w:szCs w:val="22"/>
        </w:rPr>
        <w:t>uhrál m</w:t>
      </w:r>
      <w:r w:rsidR="001D5BF1" w:rsidRPr="001D5BF1">
        <w:rPr>
          <w:color w:val="auto"/>
          <w:sz w:val="22"/>
          <w:szCs w:val="22"/>
        </w:rPr>
        <w:t xml:space="preserve">inimálně 50% </w:t>
      </w:r>
      <w:r w:rsidR="009B21EF">
        <w:rPr>
          <w:color w:val="auto"/>
          <w:sz w:val="22"/>
          <w:szCs w:val="22"/>
        </w:rPr>
        <w:t xml:space="preserve">z </w:t>
      </w:r>
      <w:r w:rsidR="001D5BF1" w:rsidRPr="001D5BF1">
        <w:rPr>
          <w:color w:val="auto"/>
          <w:sz w:val="22"/>
          <w:szCs w:val="22"/>
        </w:rPr>
        <w:t xml:space="preserve">minimálně 9 </w:t>
      </w:r>
      <w:r w:rsidR="009B21EF">
        <w:rPr>
          <w:color w:val="auto"/>
          <w:sz w:val="22"/>
          <w:szCs w:val="22"/>
        </w:rPr>
        <w:t>partií</w:t>
      </w:r>
      <w:r w:rsidR="001D5BF1" w:rsidRPr="001D5BF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BC425C" w:rsidRDefault="00BC425C" w:rsidP="009B21EF">
      <w:pPr>
        <w:pStyle w:val="Default"/>
        <w:ind w:left="1276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0A1FD9">
        <w:rPr>
          <w:color w:val="auto"/>
          <w:sz w:val="22"/>
          <w:szCs w:val="22"/>
        </w:rPr>
        <w:t>3b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Norma získána na Olympiádě má hodnotu 20 partií; a výsledek performance má hodnotu 13 partií.  </w:t>
      </w:r>
    </w:p>
    <w:p w:rsidR="00E85F9F" w:rsidRPr="0084716B" w:rsidRDefault="000A1FD9" w:rsidP="0084716B">
      <w:pPr>
        <w:widowControl/>
        <w:tabs>
          <w:tab w:val="left" w:pos="1134"/>
        </w:tabs>
        <w:autoSpaceDE/>
        <w:autoSpaceDN/>
        <w:adjustRightInd/>
        <w:ind w:left="1134" w:hanging="574"/>
        <w:jc w:val="both"/>
        <w:rPr>
          <w:szCs w:val="20"/>
          <w:lang w:eastAsia="ja-JP"/>
        </w:rPr>
      </w:pPr>
      <w:r>
        <w:rPr>
          <w:sz w:val="22"/>
          <w:szCs w:val="22"/>
        </w:rPr>
        <w:t xml:space="preserve">1.24 </w:t>
      </w:r>
      <w:r>
        <w:rPr>
          <w:sz w:val="22"/>
          <w:szCs w:val="22"/>
        </w:rPr>
        <w:tab/>
      </w:r>
      <w:r w:rsidR="00E85F9F" w:rsidRPr="0084716B">
        <w:rPr>
          <w:sz w:val="22"/>
          <w:szCs w:val="22"/>
        </w:rPr>
        <w:t>Termíny použité v tabulce 1.24a a 1.24b</w:t>
      </w:r>
      <w:r w:rsidR="0084716B">
        <w:rPr>
          <w:sz w:val="22"/>
          <w:szCs w:val="22"/>
        </w:rPr>
        <w:t>:</w:t>
      </w:r>
      <w:r w:rsidR="00E85F9F" w:rsidRPr="0084716B">
        <w:rPr>
          <w:sz w:val="22"/>
          <w:szCs w:val="22"/>
        </w:rPr>
        <w:t xml:space="preserve"> </w:t>
      </w:r>
      <w:r w:rsidR="00E85F9F" w:rsidRPr="0084716B">
        <w:rPr>
          <w:sz w:val="22"/>
          <w:szCs w:val="22"/>
          <w:lang w:eastAsia="ja-JP"/>
        </w:rPr>
        <w:t xml:space="preserve">Zlato – samostatné 1. místo (po pomocných hodnoceních); </w:t>
      </w:r>
      <w:r w:rsidR="00E85F9F" w:rsidRPr="0084716B">
        <w:rPr>
          <w:sz w:val="22"/>
          <w:szCs w:val="22"/>
        </w:rPr>
        <w:t xml:space="preserve">Dělené 1. místo </w:t>
      </w:r>
      <w:r w:rsidR="00E85F9F" w:rsidRPr="0084716B">
        <w:rPr>
          <w:sz w:val="22"/>
          <w:szCs w:val="22"/>
          <w:lang w:eastAsia="ja-JP"/>
        </w:rPr>
        <w:t xml:space="preserve">– nejlepší tři (po pomocných hodnoceních); Norma – 9 partií (pokud není stanoveno jinak) Sub-kontinentální jednotlivci – včetně arabských mistrovství (Arab), asijských mistrovství (ASEAN), zónových &amp; sub-zónových </w:t>
      </w:r>
      <w:r w:rsidR="0084716B" w:rsidRPr="0084716B">
        <w:rPr>
          <w:sz w:val="22"/>
          <w:szCs w:val="22"/>
          <w:lang w:eastAsia="ja-JP"/>
        </w:rPr>
        <w:t xml:space="preserve">a regionálních mládežnických/školních </w:t>
      </w:r>
      <w:r w:rsidR="00E85F9F" w:rsidRPr="0084716B">
        <w:rPr>
          <w:sz w:val="22"/>
          <w:szCs w:val="22"/>
          <w:lang w:eastAsia="ja-JP"/>
        </w:rPr>
        <w:t>mistrovství</w:t>
      </w:r>
      <w:r w:rsidR="0084716B" w:rsidRPr="0084716B">
        <w:rPr>
          <w:sz w:val="22"/>
          <w:szCs w:val="22"/>
          <w:lang w:eastAsia="ja-JP"/>
        </w:rPr>
        <w:t>. Každý kontinent má povoleno jmenovat maximálně 3 regionální mládežnické/školní akce pro přímé tituly.</w:t>
      </w:r>
    </w:p>
    <w:p w:rsidR="00AF097D" w:rsidRDefault="00AF097D">
      <w:pPr>
        <w:pStyle w:val="Default"/>
        <w:ind w:left="560" w:hanging="560"/>
        <w:jc w:val="both"/>
        <w:rPr>
          <w:color w:val="auto"/>
          <w:sz w:val="22"/>
          <w:szCs w:val="22"/>
        </w:rPr>
      </w:pP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 </w:t>
      </w:r>
      <w:r>
        <w:rPr>
          <w:color w:val="auto"/>
          <w:sz w:val="22"/>
          <w:szCs w:val="22"/>
        </w:rPr>
        <w:tab/>
        <w:t xml:space="preserve">Tituly </w:t>
      </w:r>
      <w:r w:rsidR="00E85F9F">
        <w:rPr>
          <w:color w:val="auto"/>
          <w:sz w:val="22"/>
          <w:szCs w:val="22"/>
        </w:rPr>
        <w:t xml:space="preserve">mohou být </w:t>
      </w:r>
      <w:r>
        <w:rPr>
          <w:color w:val="auto"/>
          <w:sz w:val="22"/>
          <w:szCs w:val="22"/>
        </w:rPr>
        <w:t>získané na základě dosažení publikovaného ratingu</w:t>
      </w:r>
      <w:r w:rsidR="00E85F9F">
        <w:rPr>
          <w:color w:val="auto"/>
          <w:sz w:val="22"/>
          <w:szCs w:val="22"/>
        </w:rPr>
        <w:t xml:space="preserve"> nebo dočasného ratingu v určitém období nebo jinak (viz 1.53a)</w:t>
      </w:r>
      <w:r>
        <w:rPr>
          <w:color w:val="auto"/>
          <w:sz w:val="22"/>
          <w:szCs w:val="22"/>
        </w:rPr>
        <w:t xml:space="preserve">::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1.31 Mistr FIDE ≥ 2300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1.32 Kandidát mistra ≥ 2200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1.33 Mistryně FIDE ≥ 2100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1.34 Kandidátka mistra  ≥ 2000 </w:t>
      </w:r>
    </w:p>
    <w:p w:rsidR="00BC425C" w:rsidRDefault="00BC425C">
      <w:pPr>
        <w:pStyle w:val="Default"/>
        <w:ind w:left="84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 </w:t>
      </w:r>
      <w:r>
        <w:rPr>
          <w:color w:val="auto"/>
          <w:sz w:val="22"/>
          <w:szCs w:val="22"/>
        </w:rPr>
        <w:tab/>
        <w:t xml:space="preserve">Tituly GM, IM, WGM, WIM lze získat splněním norem v mezinárodně započítávaných turnajích podle těchto zásad. </w:t>
      </w:r>
    </w:p>
    <w:p w:rsidR="000E161F" w:rsidRDefault="000E161F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:rsidR="00BC425C" w:rsidRDefault="00BC425C" w:rsidP="000E161F">
      <w:pPr>
        <w:pStyle w:val="Default"/>
        <w:jc w:val="both"/>
        <w:rPr>
          <w:b/>
          <w:color w:val="auto"/>
          <w:sz w:val="22"/>
          <w:szCs w:val="22"/>
        </w:rPr>
      </w:pPr>
      <w:r w:rsidRPr="000E161F">
        <w:rPr>
          <w:b/>
          <w:color w:val="auto"/>
          <w:sz w:val="22"/>
          <w:szCs w:val="22"/>
        </w:rPr>
        <w:t xml:space="preserve">1.41 </w:t>
      </w:r>
      <w:r w:rsidRPr="000E161F">
        <w:rPr>
          <w:b/>
          <w:color w:val="auto"/>
          <w:sz w:val="22"/>
          <w:szCs w:val="22"/>
        </w:rPr>
        <w:tab/>
        <w:t>Počet partií</w:t>
      </w:r>
    </w:p>
    <w:p w:rsidR="00AF097D" w:rsidRPr="000E161F" w:rsidRDefault="00AF097D" w:rsidP="000E161F">
      <w:pPr>
        <w:pStyle w:val="Default"/>
        <w:jc w:val="both"/>
        <w:rPr>
          <w:b/>
          <w:color w:val="auto"/>
          <w:sz w:val="22"/>
          <w:szCs w:val="22"/>
        </w:rPr>
      </w:pPr>
    </w:p>
    <w:p w:rsidR="00BC425C" w:rsidRDefault="00BC425C" w:rsidP="000E161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1.41a </w:t>
      </w:r>
      <w:r w:rsidR="009B21EF">
        <w:rPr>
          <w:sz w:val="22"/>
          <w:szCs w:val="22"/>
        </w:rPr>
        <w:tab/>
      </w:r>
      <w:r>
        <w:rPr>
          <w:sz w:val="22"/>
          <w:szCs w:val="22"/>
        </w:rPr>
        <w:t xml:space="preserve">Hráč musí sehrát nejméně 9 partií, nicméně </w:t>
      </w:r>
    </w:p>
    <w:p w:rsidR="009B21EF" w:rsidRDefault="00BC425C" w:rsidP="009B21EF">
      <w:pPr>
        <w:ind w:left="1440" w:hanging="731"/>
        <w:rPr>
          <w:sz w:val="22"/>
          <w:szCs w:val="22"/>
        </w:rPr>
      </w:pPr>
      <w:r>
        <w:rPr>
          <w:sz w:val="22"/>
          <w:szCs w:val="22"/>
        </w:rPr>
        <w:t xml:space="preserve">1.41b </w:t>
      </w:r>
      <w:r w:rsidR="009B21EF">
        <w:rPr>
          <w:sz w:val="22"/>
          <w:szCs w:val="22"/>
        </w:rPr>
        <w:tab/>
      </w:r>
      <w:r>
        <w:rPr>
          <w:sz w:val="22"/>
          <w:szCs w:val="22"/>
        </w:rPr>
        <w:t xml:space="preserve">Pouze 7 partií se požaduje v kontinentálních a světových mistrovstvích družstev, která se hrají na 7 kol. </w:t>
      </w:r>
    </w:p>
    <w:p w:rsidR="009B21EF" w:rsidRDefault="00BC425C" w:rsidP="009B21EF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Pouze 7 partií se požaduje v kontinentálních a světových mistrovstvích družstev, která se hrají na 8 nebo 9 kol. </w:t>
      </w:r>
    </w:p>
    <w:p w:rsidR="00BC425C" w:rsidRDefault="00BC425C" w:rsidP="009B21EF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Pouze 8 partií se požaduje </w:t>
      </w:r>
      <w:r w:rsidR="00E31594">
        <w:rPr>
          <w:sz w:val="22"/>
          <w:szCs w:val="22"/>
        </w:rPr>
        <w:t>ve S</w:t>
      </w:r>
      <w:r>
        <w:rPr>
          <w:sz w:val="22"/>
          <w:szCs w:val="22"/>
        </w:rPr>
        <w:t xml:space="preserve">větovém poháru a </w:t>
      </w:r>
      <w:r w:rsidR="00AF097D">
        <w:rPr>
          <w:sz w:val="22"/>
          <w:szCs w:val="22"/>
        </w:rPr>
        <w:t>M</w:t>
      </w:r>
      <w:r>
        <w:rPr>
          <w:sz w:val="22"/>
          <w:szCs w:val="22"/>
        </w:rPr>
        <w:t>istrovství světa žen,</w:t>
      </w:r>
      <w:r w:rsidR="00E31594">
        <w:rPr>
          <w:sz w:val="22"/>
          <w:szCs w:val="22"/>
        </w:rPr>
        <w:t xml:space="preserve"> kde </w:t>
      </w:r>
      <w:r>
        <w:rPr>
          <w:sz w:val="22"/>
          <w:szCs w:val="22"/>
        </w:rPr>
        <w:t xml:space="preserve">se </w:t>
      </w:r>
      <w:r w:rsidR="00E31594">
        <w:rPr>
          <w:sz w:val="22"/>
          <w:szCs w:val="22"/>
        </w:rPr>
        <w:t xml:space="preserve">těchto </w:t>
      </w:r>
      <w:r>
        <w:rPr>
          <w:sz w:val="22"/>
          <w:szCs w:val="22"/>
        </w:rPr>
        <w:t>8 partií počítá jako kdyby 9 partií.</w:t>
      </w:r>
    </w:p>
    <w:p w:rsidR="007538B4" w:rsidRDefault="00B44044" w:rsidP="00B44044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1.41c </w:t>
      </w:r>
      <w:r>
        <w:rPr>
          <w:color w:val="auto"/>
          <w:sz w:val="22"/>
          <w:szCs w:val="22"/>
        </w:rPr>
        <w:tab/>
      </w:r>
      <w:r w:rsidR="00D40B99">
        <w:rPr>
          <w:color w:val="auto"/>
          <w:sz w:val="22"/>
          <w:szCs w:val="22"/>
        </w:rPr>
        <w:t>P</w:t>
      </w:r>
      <w:r w:rsidR="00E31594" w:rsidRPr="00E31594">
        <w:rPr>
          <w:color w:val="auto"/>
          <w:sz w:val="22"/>
          <w:szCs w:val="22"/>
        </w:rPr>
        <w:t xml:space="preserve">okud hráč </w:t>
      </w:r>
      <w:r w:rsidR="00D40B99">
        <w:rPr>
          <w:color w:val="auto"/>
          <w:sz w:val="22"/>
          <w:szCs w:val="22"/>
        </w:rPr>
        <w:t xml:space="preserve">v turnaji </w:t>
      </w:r>
      <w:r w:rsidR="008A4D06">
        <w:rPr>
          <w:color w:val="auto"/>
          <w:sz w:val="22"/>
          <w:szCs w:val="22"/>
        </w:rPr>
        <w:t xml:space="preserve">na 9 kol </w:t>
      </w:r>
      <w:r w:rsidR="007538B4">
        <w:rPr>
          <w:color w:val="auto"/>
          <w:sz w:val="22"/>
          <w:szCs w:val="22"/>
        </w:rPr>
        <w:t xml:space="preserve">má pouze </w:t>
      </w:r>
      <w:r w:rsidR="00E31594" w:rsidRPr="00E31594">
        <w:rPr>
          <w:color w:val="auto"/>
          <w:sz w:val="22"/>
          <w:szCs w:val="22"/>
        </w:rPr>
        <w:t xml:space="preserve">8 </w:t>
      </w:r>
      <w:r w:rsidR="00D40B99">
        <w:rPr>
          <w:color w:val="auto"/>
          <w:sz w:val="22"/>
          <w:szCs w:val="22"/>
        </w:rPr>
        <w:t xml:space="preserve">partií z důvodu kontumace nebo volna (bye), </w:t>
      </w:r>
      <w:r w:rsidR="00E31594" w:rsidRPr="00E31594">
        <w:rPr>
          <w:color w:val="auto"/>
          <w:sz w:val="22"/>
          <w:szCs w:val="22"/>
        </w:rPr>
        <w:t xml:space="preserve">ale </w:t>
      </w:r>
      <w:r w:rsidR="00AF097D">
        <w:rPr>
          <w:color w:val="auto"/>
          <w:sz w:val="22"/>
          <w:szCs w:val="22"/>
        </w:rPr>
        <w:t>dosáhl</w:t>
      </w:r>
      <w:r w:rsidR="00E31594" w:rsidRPr="00E31594">
        <w:rPr>
          <w:color w:val="auto"/>
          <w:sz w:val="22"/>
          <w:szCs w:val="22"/>
        </w:rPr>
        <w:t xml:space="preserve"> </w:t>
      </w:r>
      <w:r w:rsidR="00AF097D">
        <w:rPr>
          <w:color w:val="auto"/>
          <w:sz w:val="22"/>
          <w:szCs w:val="22"/>
        </w:rPr>
        <w:t>požadované struktury soupeřů</w:t>
      </w:r>
      <w:r w:rsidR="00AF097D" w:rsidRPr="00E31594">
        <w:rPr>
          <w:color w:val="auto"/>
          <w:sz w:val="22"/>
          <w:szCs w:val="22"/>
        </w:rPr>
        <w:t xml:space="preserve"> </w:t>
      </w:r>
      <w:r w:rsidR="00E31594" w:rsidRPr="00E31594">
        <w:rPr>
          <w:color w:val="auto"/>
          <w:sz w:val="22"/>
          <w:szCs w:val="22"/>
        </w:rPr>
        <w:t xml:space="preserve">v těchto </w:t>
      </w:r>
      <w:r w:rsidR="00AF097D">
        <w:rPr>
          <w:color w:val="auto"/>
          <w:sz w:val="22"/>
          <w:szCs w:val="22"/>
        </w:rPr>
        <w:t>partiích</w:t>
      </w:r>
      <w:r w:rsidR="00E31594" w:rsidRPr="00E31594">
        <w:rPr>
          <w:color w:val="auto"/>
          <w:sz w:val="22"/>
          <w:szCs w:val="22"/>
        </w:rPr>
        <w:t xml:space="preserve">, pak v případě, že </w:t>
      </w:r>
      <w:r w:rsidR="007538B4">
        <w:rPr>
          <w:color w:val="auto"/>
          <w:sz w:val="22"/>
          <w:szCs w:val="22"/>
        </w:rPr>
        <w:t xml:space="preserve">v 8 partiích dosáhl titulárního výsledku, </w:t>
      </w:r>
      <w:r w:rsidR="008A4D06">
        <w:rPr>
          <w:color w:val="auto"/>
          <w:sz w:val="22"/>
          <w:szCs w:val="22"/>
        </w:rPr>
        <w:t xml:space="preserve">počítá </w:t>
      </w:r>
      <w:r w:rsidR="007538B4">
        <w:rPr>
          <w:color w:val="auto"/>
          <w:sz w:val="22"/>
          <w:szCs w:val="22"/>
        </w:rPr>
        <w:t xml:space="preserve">se </w:t>
      </w:r>
      <w:r w:rsidR="008A4D06">
        <w:rPr>
          <w:color w:val="auto"/>
          <w:sz w:val="22"/>
          <w:szCs w:val="22"/>
        </w:rPr>
        <w:t xml:space="preserve">to </w:t>
      </w:r>
      <w:r w:rsidR="00E31594" w:rsidRPr="00E31594">
        <w:rPr>
          <w:color w:val="auto"/>
          <w:sz w:val="22"/>
          <w:szCs w:val="22"/>
        </w:rPr>
        <w:t xml:space="preserve">jako 8 </w:t>
      </w:r>
      <w:r w:rsidR="007538B4">
        <w:rPr>
          <w:color w:val="auto"/>
          <w:sz w:val="22"/>
          <w:szCs w:val="22"/>
        </w:rPr>
        <w:t>partií na normu</w:t>
      </w:r>
      <w:r w:rsidR="00E31594" w:rsidRPr="00E31594">
        <w:rPr>
          <w:color w:val="auto"/>
          <w:sz w:val="22"/>
          <w:szCs w:val="22"/>
        </w:rPr>
        <w:t>.</w:t>
      </w:r>
      <w:r w:rsidR="00AF097D">
        <w:rPr>
          <w:color w:val="auto"/>
          <w:sz w:val="22"/>
          <w:szCs w:val="22"/>
        </w:rPr>
        <w:t xml:space="preserve"> </w:t>
      </w:r>
    </w:p>
    <w:p w:rsidR="00BC425C" w:rsidRDefault="007538B4" w:rsidP="00B44044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1.41d</w:t>
      </w:r>
      <w:r w:rsidR="00B44044">
        <w:rPr>
          <w:color w:val="auto"/>
          <w:sz w:val="22"/>
          <w:szCs w:val="22"/>
        </w:rPr>
        <w:tab/>
      </w:r>
      <w:r w:rsidR="00BC425C">
        <w:rPr>
          <w:color w:val="auto"/>
          <w:sz w:val="22"/>
          <w:szCs w:val="22"/>
        </w:rPr>
        <w:t xml:space="preserve">Když hráč překročí požadovanou normu o jeden nebo více bodů, pak při výpočtu se délka turnaje považuje za rozšířenou o tento počet partií. </w:t>
      </w:r>
    </w:p>
    <w:p w:rsidR="00E31594" w:rsidRDefault="00E31594">
      <w:pPr>
        <w:ind w:left="2400" w:hanging="840"/>
        <w:jc w:val="both"/>
        <w:rPr>
          <w:sz w:val="22"/>
          <w:szCs w:val="22"/>
        </w:rPr>
      </w:pPr>
    </w:p>
    <w:p w:rsidR="00BC425C" w:rsidRDefault="00BC425C">
      <w:pPr>
        <w:ind w:left="2400" w:hanging="8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:rsidR="00BC425C" w:rsidRDefault="00BC425C" w:rsidP="000E161F">
      <w:pPr>
        <w:pStyle w:val="Default"/>
        <w:jc w:val="both"/>
        <w:rPr>
          <w:b/>
          <w:color w:val="auto"/>
          <w:sz w:val="22"/>
          <w:szCs w:val="22"/>
        </w:rPr>
      </w:pPr>
      <w:r w:rsidRPr="000E161F">
        <w:rPr>
          <w:b/>
          <w:color w:val="auto"/>
          <w:sz w:val="22"/>
          <w:szCs w:val="22"/>
        </w:rPr>
        <w:t xml:space="preserve">1.42 </w:t>
      </w:r>
      <w:r w:rsidR="000E161F">
        <w:rPr>
          <w:b/>
          <w:color w:val="auto"/>
          <w:sz w:val="22"/>
          <w:szCs w:val="22"/>
        </w:rPr>
        <w:tab/>
      </w:r>
      <w:r w:rsidRPr="000E161F">
        <w:rPr>
          <w:b/>
          <w:color w:val="auto"/>
          <w:sz w:val="22"/>
          <w:szCs w:val="22"/>
        </w:rPr>
        <w:t>Nezapočítávají se partie</w:t>
      </w:r>
    </w:p>
    <w:p w:rsidR="000E161F" w:rsidRPr="000E161F" w:rsidRDefault="000E161F">
      <w:pPr>
        <w:pStyle w:val="Default"/>
        <w:ind w:left="1120" w:hanging="560"/>
        <w:jc w:val="both"/>
        <w:rPr>
          <w:b/>
          <w:color w:val="auto"/>
          <w:sz w:val="22"/>
          <w:szCs w:val="22"/>
        </w:rPr>
      </w:pPr>
    </w:p>
    <w:p w:rsidR="00BC425C" w:rsidRDefault="00BC425C" w:rsidP="000E161F">
      <w:p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1.42a </w:t>
      </w:r>
      <w:r>
        <w:rPr>
          <w:sz w:val="22"/>
          <w:szCs w:val="22"/>
        </w:rPr>
        <w:tab/>
      </w:r>
      <w:r w:rsidR="00880408">
        <w:rPr>
          <w:sz w:val="22"/>
          <w:szCs w:val="22"/>
        </w:rPr>
        <w:t>P</w:t>
      </w:r>
      <w:r>
        <w:rPr>
          <w:sz w:val="22"/>
          <w:szCs w:val="22"/>
        </w:rPr>
        <w:t xml:space="preserve">roti hráčům, kteří nepatří k federaci FIDE. </w:t>
      </w:r>
    </w:p>
    <w:p w:rsidR="00BC425C" w:rsidRDefault="00BC425C" w:rsidP="000E161F">
      <w:pPr>
        <w:pStyle w:val="Default"/>
        <w:ind w:left="993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1.42b </w:t>
      </w:r>
      <w:r>
        <w:rPr>
          <w:color w:val="auto"/>
          <w:sz w:val="22"/>
          <w:szCs w:val="22"/>
        </w:rPr>
        <w:tab/>
      </w:r>
      <w:r w:rsidR="00880408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roti počítačům </w:t>
      </w:r>
    </w:p>
    <w:p w:rsidR="0055640C" w:rsidRDefault="0055640C" w:rsidP="0055640C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1.42c </w:t>
      </w:r>
      <w:r>
        <w:rPr>
          <w:color w:val="auto"/>
          <w:sz w:val="22"/>
          <w:szCs w:val="22"/>
        </w:rPr>
        <w:tab/>
      </w:r>
      <w:r w:rsidR="00880408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roti hráčům bez ratingu, kteří mají v turnaji s uzavřeným okruhem nulový výsledek proti hráčům s ratingem.</w:t>
      </w:r>
    </w:p>
    <w:p w:rsidR="00BC425C" w:rsidRDefault="00BC425C" w:rsidP="000E161F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1.42</w:t>
      </w:r>
      <w:r w:rsidR="0055640C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ab/>
      </w:r>
      <w:r w:rsidR="00880408"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</w:rPr>
        <w:t xml:space="preserve">ozhodnuté kontumací, odhadem nebo jinými prostředky než praktickou hrou. Partie se ovšem započítá, je-li zahájena a pak kontumována z jakéhokoli důvodu. V posledním kole hráč musí nastoupit ke hře, aby měl požadovaný počet partií, ale může si dovolit prohrát. V případě, že soupeř prohraje kontumačně, do normy se ještě započítá. </w:t>
      </w:r>
    </w:p>
    <w:p w:rsidR="00880408" w:rsidRDefault="00BC425C" w:rsidP="000E161F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1.42e</w:t>
      </w:r>
      <w:r>
        <w:rPr>
          <w:color w:val="auto"/>
          <w:sz w:val="22"/>
          <w:szCs w:val="22"/>
        </w:rPr>
        <w:tab/>
      </w:r>
      <w:r w:rsidR="00E4151C">
        <w:rPr>
          <w:color w:val="auto"/>
          <w:sz w:val="22"/>
          <w:szCs w:val="22"/>
        </w:rPr>
        <w:t>H</w:t>
      </w:r>
      <w:r w:rsidR="00880408">
        <w:rPr>
          <w:color w:val="auto"/>
          <w:sz w:val="22"/>
          <w:szCs w:val="22"/>
        </w:rPr>
        <w:t>ráč, který dosáhl titulární výsledek před posledním kolem, může ignorovat všechny následující partie, za předpokladu, že:</w:t>
      </w:r>
    </w:p>
    <w:p w:rsidR="00880408" w:rsidRDefault="00880408" w:rsidP="00880408">
      <w:pPr>
        <w:pStyle w:val="Default"/>
        <w:ind w:left="14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splnil požadovanou strukturu </w:t>
      </w:r>
      <w:r w:rsidR="00237527">
        <w:rPr>
          <w:color w:val="auto"/>
          <w:sz w:val="22"/>
          <w:szCs w:val="22"/>
        </w:rPr>
        <w:t xml:space="preserve">(mix) </w:t>
      </w:r>
      <w:r>
        <w:rPr>
          <w:color w:val="auto"/>
          <w:sz w:val="22"/>
          <w:szCs w:val="22"/>
        </w:rPr>
        <w:t>soupeřů</w:t>
      </w:r>
    </w:p>
    <w:p w:rsidR="00880408" w:rsidRDefault="00237527" w:rsidP="00880408">
      <w:pPr>
        <w:pStyle w:val="Default"/>
        <w:ind w:left="14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880408">
        <w:rPr>
          <w:color w:val="auto"/>
          <w:sz w:val="22"/>
          <w:szCs w:val="22"/>
        </w:rPr>
        <w:t>v konečném výsledku mu zůstane minimální počet partií dle článku 1.41</w:t>
      </w:r>
    </w:p>
    <w:p w:rsidR="00880408" w:rsidRDefault="00237527" w:rsidP="00880408">
      <w:pPr>
        <w:pStyle w:val="Default"/>
        <w:ind w:left="1440"/>
        <w:jc w:val="both"/>
        <w:rPr>
          <w:color w:val="auto"/>
          <w:sz w:val="22"/>
          <w:szCs w:val="22"/>
        </w:rPr>
      </w:pPr>
      <w:r w:rsidRPr="00237527">
        <w:rPr>
          <w:color w:val="auto"/>
          <w:sz w:val="22"/>
          <w:szCs w:val="22"/>
        </w:rPr>
        <w:t xml:space="preserve">(c) v případě turnaje s předem </w:t>
      </w:r>
      <w:r>
        <w:rPr>
          <w:color w:val="auto"/>
          <w:sz w:val="22"/>
          <w:szCs w:val="22"/>
        </w:rPr>
        <w:t>určeným losováním</w:t>
      </w:r>
      <w:r w:rsidRPr="00237527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všechny </w:t>
      </w:r>
      <w:r w:rsidRPr="00237527">
        <w:rPr>
          <w:color w:val="auto"/>
          <w:sz w:val="22"/>
          <w:szCs w:val="22"/>
        </w:rPr>
        <w:t xml:space="preserve">požadavky, jiné než </w:t>
      </w:r>
      <w:r w:rsidR="003C427C">
        <w:rPr>
          <w:color w:val="auto"/>
          <w:sz w:val="22"/>
          <w:szCs w:val="22"/>
        </w:rPr>
        <w:t>počet bodů</w:t>
      </w:r>
      <w:r w:rsidRPr="00237527">
        <w:rPr>
          <w:color w:val="auto"/>
          <w:sz w:val="22"/>
          <w:szCs w:val="22"/>
        </w:rPr>
        <w:t>, musí být splněny pro celý turnaj.</w:t>
      </w:r>
    </w:p>
    <w:p w:rsidR="00BC425C" w:rsidRDefault="00880408" w:rsidP="00880408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1.42f"/>
        </w:smartTagPr>
        <w:r>
          <w:rPr>
            <w:color w:val="auto"/>
            <w:sz w:val="22"/>
            <w:szCs w:val="22"/>
          </w:rPr>
          <w:t>1.42f</w:t>
        </w:r>
      </w:smartTag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="00E4151C">
        <w:rPr>
          <w:color w:val="auto"/>
          <w:sz w:val="22"/>
          <w:szCs w:val="22"/>
        </w:rPr>
        <w:t>H</w:t>
      </w:r>
      <w:r w:rsidR="00BC425C">
        <w:rPr>
          <w:color w:val="auto"/>
          <w:sz w:val="22"/>
          <w:szCs w:val="22"/>
        </w:rPr>
        <w:t>ráč může ignorovat svoje partie proti jakýmkoliv soupeřům, které porazil, za předpokladu, že v konečném výsledku mu zůstane minimální počet partií dle článku 1.41, proti požadované struktuře soupeřů. Každopádně musí být předložena úplná křížová tabulka soutěže.</w:t>
      </w:r>
      <w:r w:rsidR="003C427C">
        <w:rPr>
          <w:color w:val="auto"/>
          <w:sz w:val="22"/>
          <w:szCs w:val="22"/>
        </w:rPr>
        <w:t xml:space="preserve"> V</w:t>
      </w:r>
      <w:r w:rsidR="003C427C" w:rsidRPr="00237527">
        <w:rPr>
          <w:color w:val="auto"/>
          <w:sz w:val="22"/>
          <w:szCs w:val="22"/>
        </w:rPr>
        <w:t xml:space="preserve"> případě turnaje s předem </w:t>
      </w:r>
      <w:r w:rsidR="003C427C">
        <w:rPr>
          <w:color w:val="auto"/>
          <w:sz w:val="22"/>
          <w:szCs w:val="22"/>
        </w:rPr>
        <w:t>určeným losováním</w:t>
      </w:r>
      <w:r w:rsidR="003C427C" w:rsidRPr="00237527">
        <w:rPr>
          <w:color w:val="auto"/>
          <w:sz w:val="22"/>
          <w:szCs w:val="22"/>
        </w:rPr>
        <w:t xml:space="preserve">, </w:t>
      </w:r>
      <w:r w:rsidR="003C427C">
        <w:rPr>
          <w:color w:val="auto"/>
          <w:sz w:val="22"/>
          <w:szCs w:val="22"/>
        </w:rPr>
        <w:t xml:space="preserve">všechny </w:t>
      </w:r>
      <w:r w:rsidR="003C427C" w:rsidRPr="00237527">
        <w:rPr>
          <w:color w:val="auto"/>
          <w:sz w:val="22"/>
          <w:szCs w:val="22"/>
        </w:rPr>
        <w:t xml:space="preserve">požadavky, jiné než </w:t>
      </w:r>
      <w:r w:rsidR="003C427C">
        <w:rPr>
          <w:color w:val="auto"/>
          <w:sz w:val="22"/>
          <w:szCs w:val="22"/>
        </w:rPr>
        <w:t>počet bodů</w:t>
      </w:r>
      <w:r w:rsidR="003C427C" w:rsidRPr="00237527">
        <w:rPr>
          <w:color w:val="auto"/>
          <w:sz w:val="22"/>
          <w:szCs w:val="22"/>
        </w:rPr>
        <w:t>, musí být splněny pro celý turnaj.</w:t>
      </w:r>
      <w:r w:rsidR="00BC425C">
        <w:rPr>
          <w:color w:val="auto"/>
          <w:sz w:val="22"/>
          <w:szCs w:val="22"/>
        </w:rPr>
        <w:t xml:space="preserve"> </w:t>
      </w:r>
      <w:r w:rsidR="00BC425C">
        <w:rPr>
          <w:color w:val="auto"/>
          <w:sz w:val="22"/>
          <w:szCs w:val="22"/>
        </w:rPr>
        <w:tab/>
        <w:t xml:space="preserve"> </w:t>
      </w:r>
    </w:p>
    <w:p w:rsidR="00BC425C" w:rsidRDefault="00BC425C" w:rsidP="000E161F">
      <w:pPr>
        <w:pStyle w:val="Default"/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1.42g </w:t>
      </w:r>
      <w:r w:rsidR="000E161F">
        <w:rPr>
          <w:color w:val="auto"/>
          <w:sz w:val="22"/>
          <w:szCs w:val="22"/>
        </w:rPr>
        <w:tab/>
      </w:r>
      <w:r w:rsidR="00880408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 xml:space="preserve"> turnajů, kde jsou prováděny změny ve prospěch jednoho nebo více hráčů (například změnou počtu kol nebo přidělením jednotlivých soupeřů, kteří se jinak soutěže neúčastní).</w:t>
      </w:r>
    </w:p>
    <w:p w:rsidR="00BC425C" w:rsidRDefault="00BC425C">
      <w:pPr>
        <w:pStyle w:val="Default"/>
        <w:ind w:left="2400" w:hanging="840"/>
        <w:jc w:val="both"/>
        <w:rPr>
          <w:color w:val="auto"/>
          <w:sz w:val="22"/>
          <w:szCs w:val="22"/>
        </w:rPr>
      </w:pPr>
    </w:p>
    <w:p w:rsidR="00BC425C" w:rsidRDefault="000E161F" w:rsidP="00AF097D">
      <w:pPr>
        <w:pStyle w:val="Default"/>
        <w:numPr>
          <w:ilvl w:val="1"/>
          <w:numId w:val="4"/>
        </w:numPr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Federace</w:t>
      </w:r>
      <w:r w:rsidR="00BC425C" w:rsidRPr="000E161F">
        <w:rPr>
          <w:b/>
          <w:color w:val="auto"/>
          <w:sz w:val="22"/>
          <w:szCs w:val="22"/>
        </w:rPr>
        <w:t xml:space="preserve"> soupeřů </w:t>
      </w:r>
    </w:p>
    <w:p w:rsidR="00AF097D" w:rsidRPr="000E161F" w:rsidRDefault="00AF097D" w:rsidP="00AF097D">
      <w:pPr>
        <w:pStyle w:val="Default"/>
        <w:jc w:val="both"/>
        <w:rPr>
          <w:b/>
          <w:color w:val="auto"/>
          <w:sz w:val="22"/>
          <w:szCs w:val="22"/>
        </w:rPr>
      </w:pPr>
    </w:p>
    <w:p w:rsidR="00BC425C" w:rsidRDefault="00BC425C" w:rsidP="000E161F">
      <w:pPr>
        <w:pStyle w:val="Default"/>
        <w:ind w:left="709" w:firstLine="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Účast minimálně dvou federací jiných než je federace uchazeče o titul, s výjimkou 1.43a-1.43e. Vždy je nutné brát v úvahu článek 1.43f.  </w:t>
      </w:r>
    </w:p>
    <w:p w:rsidR="00BC425C" w:rsidRDefault="00BC425C" w:rsidP="000E161F">
      <w:pP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1.43a  </w:t>
      </w:r>
      <w:r w:rsidR="008A4D06">
        <w:rPr>
          <w:sz w:val="22"/>
          <w:szCs w:val="22"/>
        </w:rPr>
        <w:tab/>
      </w:r>
      <w:r>
        <w:rPr>
          <w:sz w:val="22"/>
          <w:szCs w:val="22"/>
        </w:rPr>
        <w:t xml:space="preserve">Finále (nikoliv kvalifikace) národních mistrovství mužů nebo žen.  </w:t>
      </w:r>
    </w:p>
    <w:p w:rsidR="00BC425C" w:rsidRDefault="00BC425C" w:rsidP="000E161F">
      <w:pPr>
        <w:pStyle w:val="Default"/>
        <w:ind w:left="709" w:firstLine="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1.43b  </w:t>
      </w:r>
      <w:r w:rsidR="008A4D06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Národní mistrovství družstev. </w:t>
      </w:r>
    </w:p>
    <w:p w:rsidR="00BC425C" w:rsidRDefault="00BC425C" w:rsidP="000E161F">
      <w:pPr>
        <w:pStyle w:val="Default"/>
        <w:ind w:left="709" w:firstLine="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1.43c  </w:t>
      </w:r>
      <w:r w:rsidR="008A4D06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Pásmové turnaje. </w:t>
      </w:r>
    </w:p>
    <w:p w:rsidR="00BC425C" w:rsidRDefault="00BC425C" w:rsidP="000E161F">
      <w:pPr>
        <w:pStyle w:val="Default"/>
        <w:ind w:left="709" w:firstLine="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1.43d </w:t>
      </w:r>
      <w:r w:rsidR="008A4D06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Soutěže jiného typu s předchozím souhlasem předsedy </w:t>
      </w:r>
      <w:r w:rsidR="009E32F6">
        <w:rPr>
          <w:color w:val="auto"/>
          <w:sz w:val="22"/>
          <w:szCs w:val="22"/>
        </w:rPr>
        <w:t xml:space="preserve">Klasifikační </w:t>
      </w:r>
      <w:r>
        <w:rPr>
          <w:color w:val="auto"/>
          <w:sz w:val="22"/>
          <w:szCs w:val="22"/>
        </w:rPr>
        <w:t xml:space="preserve">komise. </w:t>
      </w:r>
    </w:p>
    <w:p w:rsidR="00BC425C" w:rsidRDefault="00BC425C" w:rsidP="008A4D06">
      <w:pPr>
        <w:pStyle w:val="Default"/>
        <w:tabs>
          <w:tab w:val="left" w:pos="1701"/>
        </w:tabs>
        <w:ind w:left="1440" w:hanging="73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1.43e </w:t>
      </w:r>
      <w:r w:rsidR="008A4D06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Turnaje hrané švýcarským systémem s minimální účastí 20 hráčů s ratingem FIDE mimo pořádající federaci, nejméně </w:t>
      </w:r>
      <w:r w:rsidR="001F6FD4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 xml:space="preserve"> 3 federací s nejméně 10 nositeli titulů GM, IM, WGM nebo WIM. Jinak platí 1.44. </w:t>
      </w:r>
    </w:p>
    <w:p w:rsidR="00BC425C" w:rsidRDefault="00BC425C" w:rsidP="008A4D06">
      <w:pPr>
        <w:pStyle w:val="Default"/>
        <w:ind w:left="1440" w:hanging="720"/>
        <w:jc w:val="both"/>
        <w:rPr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2600 a"/>
        </w:smartTagPr>
        <w:r>
          <w:rPr>
            <w:color w:val="auto"/>
            <w:sz w:val="22"/>
            <w:szCs w:val="22"/>
          </w:rPr>
          <w:t>1.43f</w:t>
        </w:r>
      </w:smartTag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Nejméně jedna z norem musí být dosažena v turnaji za účasti zahraničních účastníků (tzn. z jiných federací). (viz první část článku </w:t>
      </w:r>
      <w:smartTag w:uri="urn:schemas-microsoft-com:office:smarttags" w:element="metricconverter">
        <w:smartTagPr>
          <w:attr w:name="ProductID" w:val="2600 a"/>
        </w:smartTagPr>
        <w:r>
          <w:rPr>
            <w:color w:val="auto"/>
            <w:sz w:val="22"/>
            <w:szCs w:val="22"/>
          </w:rPr>
          <w:t>1.43 a</w:t>
        </w:r>
      </w:smartTag>
      <w:r>
        <w:rPr>
          <w:color w:val="auto"/>
          <w:sz w:val="22"/>
          <w:szCs w:val="22"/>
        </w:rPr>
        <w:t xml:space="preserve"> 1.44) </w:t>
      </w:r>
    </w:p>
    <w:p w:rsidR="00BC425C" w:rsidRDefault="00BC425C" w:rsidP="000E161F">
      <w:pPr>
        <w:pStyle w:val="Default"/>
        <w:ind w:left="709" w:firstLine="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 w:rsidP="000E161F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1.44 </w:t>
      </w:r>
      <w:r>
        <w:rPr>
          <w:color w:val="auto"/>
          <w:sz w:val="22"/>
          <w:szCs w:val="22"/>
        </w:rPr>
        <w:tab/>
        <w:t>Soupeři se započítávají se zaokrouhlením na celé vyšší číslo (minimum) a na celé nižší číslo (maximum). Maximum 3/5 (60%) soupeřů může pocházet z federace žadatele a maximum 2/3 (66,67%) soupeřů může pocházet z jedné federace. Pro konkrétní počty viz tabulk</w:t>
      </w:r>
      <w:r w:rsidR="001F6FD4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1.7</w:t>
      </w:r>
      <w:r w:rsidR="000E161F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</w:t>
      </w:r>
    </w:p>
    <w:p w:rsidR="000E161F" w:rsidRDefault="000E161F" w:rsidP="000E161F">
      <w:pPr>
        <w:pStyle w:val="Default"/>
        <w:ind w:left="1440" w:hanging="731"/>
        <w:jc w:val="both"/>
        <w:rPr>
          <w:color w:val="auto"/>
          <w:sz w:val="22"/>
          <w:szCs w:val="22"/>
        </w:rPr>
      </w:pPr>
    </w:p>
    <w:p w:rsidR="00BC425C" w:rsidRPr="000E161F" w:rsidRDefault="00BC425C" w:rsidP="000E161F">
      <w:pPr>
        <w:pStyle w:val="Default"/>
        <w:jc w:val="both"/>
        <w:rPr>
          <w:b/>
          <w:color w:val="auto"/>
          <w:sz w:val="22"/>
          <w:szCs w:val="22"/>
        </w:rPr>
      </w:pPr>
      <w:r w:rsidRPr="000E161F">
        <w:rPr>
          <w:b/>
          <w:color w:val="auto"/>
          <w:sz w:val="22"/>
          <w:szCs w:val="22"/>
        </w:rPr>
        <w:t xml:space="preserve">1.45 </w:t>
      </w:r>
      <w:r w:rsidRPr="000E161F">
        <w:rPr>
          <w:b/>
          <w:color w:val="auto"/>
          <w:sz w:val="22"/>
          <w:szCs w:val="22"/>
        </w:rPr>
        <w:tab/>
        <w:t>Tituly soupeřů</w:t>
      </w:r>
    </w:p>
    <w:p w:rsidR="000E161F" w:rsidRDefault="000E161F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</w:p>
    <w:p w:rsidR="00BC425C" w:rsidRDefault="00BC425C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1.45a </w:t>
      </w:r>
      <w:r>
        <w:rPr>
          <w:color w:val="auto"/>
          <w:sz w:val="22"/>
          <w:szCs w:val="22"/>
        </w:rPr>
        <w:tab/>
        <w:t xml:space="preserve">Nejméně 50% soupeřů musí být hráči s titulem (TH) podle 0.31, kromě CM a WCM. </w:t>
      </w:r>
    </w:p>
    <w:p w:rsidR="000E161F" w:rsidRPr="001F6FD4" w:rsidRDefault="000E161F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12"/>
          <w:szCs w:val="12"/>
        </w:rPr>
      </w:pPr>
    </w:p>
    <w:p w:rsidR="00BC425C" w:rsidRDefault="00BC425C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1.45b </w:t>
      </w:r>
      <w:r>
        <w:rPr>
          <w:color w:val="auto"/>
          <w:sz w:val="22"/>
          <w:szCs w:val="22"/>
        </w:rPr>
        <w:tab/>
        <w:t xml:space="preserve">Pro GM normu, nejméně 1/3 (MO) z toho minimálně 3 soupeři musí být GM. </w:t>
      </w:r>
    </w:p>
    <w:p w:rsidR="000E161F" w:rsidRPr="001F6FD4" w:rsidRDefault="000E161F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12"/>
          <w:szCs w:val="12"/>
        </w:rPr>
      </w:pPr>
    </w:p>
    <w:p w:rsidR="00BC425C" w:rsidRDefault="00BC425C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1.45c </w:t>
      </w:r>
      <w:r>
        <w:rPr>
          <w:color w:val="auto"/>
          <w:sz w:val="22"/>
          <w:szCs w:val="22"/>
        </w:rPr>
        <w:tab/>
        <w:t>Pro IM normu, nejméně 1/3 (MO) z toho minimálně 3 soupeři musí být IM</w:t>
      </w:r>
      <w:r w:rsidR="0055640C">
        <w:rPr>
          <w:color w:val="auto"/>
          <w:sz w:val="22"/>
          <w:szCs w:val="22"/>
        </w:rPr>
        <w:t xml:space="preserve"> nebo GM</w:t>
      </w:r>
      <w:r>
        <w:rPr>
          <w:color w:val="auto"/>
          <w:sz w:val="22"/>
          <w:szCs w:val="22"/>
        </w:rPr>
        <w:t xml:space="preserve">. </w:t>
      </w:r>
    </w:p>
    <w:p w:rsidR="000E161F" w:rsidRPr="001F6FD4" w:rsidRDefault="000E161F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12"/>
          <w:szCs w:val="12"/>
        </w:rPr>
      </w:pPr>
    </w:p>
    <w:p w:rsidR="00BC425C" w:rsidRDefault="00BC425C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1.45d </w:t>
      </w:r>
      <w:r>
        <w:rPr>
          <w:color w:val="auto"/>
          <w:sz w:val="22"/>
          <w:szCs w:val="22"/>
        </w:rPr>
        <w:tab/>
        <w:t>Pro WGM normu, nejméně 1/3 (MO) z toho minimálně 3 soupeři musí být WGM</w:t>
      </w:r>
      <w:r w:rsidR="0055640C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IM</w:t>
      </w:r>
      <w:r w:rsidR="0055640C">
        <w:rPr>
          <w:color w:val="auto"/>
          <w:sz w:val="22"/>
          <w:szCs w:val="22"/>
        </w:rPr>
        <w:t xml:space="preserve"> nebo GM</w:t>
      </w:r>
      <w:r>
        <w:rPr>
          <w:color w:val="auto"/>
          <w:sz w:val="22"/>
          <w:szCs w:val="22"/>
        </w:rPr>
        <w:t xml:space="preserve">. </w:t>
      </w:r>
    </w:p>
    <w:p w:rsidR="000E161F" w:rsidRPr="001F6FD4" w:rsidRDefault="000E161F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12"/>
          <w:szCs w:val="12"/>
        </w:rPr>
      </w:pPr>
    </w:p>
    <w:p w:rsidR="000E161F" w:rsidRDefault="00BC425C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1.45e </w:t>
      </w:r>
      <w:r>
        <w:rPr>
          <w:color w:val="auto"/>
          <w:sz w:val="22"/>
          <w:szCs w:val="22"/>
        </w:rPr>
        <w:tab/>
        <w:t>Pro WIM normu, nejméně 1/3 (MO) z toho minimálně 3 soupeři musí být WIM</w:t>
      </w:r>
      <w:r w:rsidR="00180783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180783">
        <w:rPr>
          <w:color w:val="auto"/>
          <w:sz w:val="22"/>
          <w:szCs w:val="22"/>
        </w:rPr>
        <w:t xml:space="preserve">WGM, IM nebo GM. </w:t>
      </w:r>
    </w:p>
    <w:p w:rsidR="00180783" w:rsidRPr="001F6FD4" w:rsidRDefault="00180783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12"/>
          <w:szCs w:val="12"/>
        </w:rPr>
      </w:pPr>
    </w:p>
    <w:p w:rsidR="00BC425C" w:rsidRDefault="00BC425C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2600 a"/>
        </w:smartTagPr>
        <w:r>
          <w:rPr>
            <w:color w:val="auto"/>
            <w:sz w:val="22"/>
            <w:szCs w:val="22"/>
          </w:rPr>
          <w:t>1.45f</w:t>
        </w:r>
      </w:smartTag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Pro dvoukolový turnaj každý s každým je nutné mít minimálně 6 hráčů. Soupeřův titul (MO) jak je uvedeno v 1.45b-e se počítá pouze jednou. </w:t>
      </w:r>
    </w:p>
    <w:p w:rsidR="00BC425C" w:rsidRDefault="000E161F" w:rsidP="000E161F">
      <w:pPr>
        <w:pStyle w:val="Default"/>
        <w:tabs>
          <w:tab w:val="left" w:pos="1560"/>
        </w:tabs>
        <w:ind w:left="1560" w:hanging="851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ab/>
      </w:r>
      <w:r w:rsidR="00BC425C">
        <w:rPr>
          <w:i/>
          <w:iCs/>
          <w:color w:val="auto"/>
          <w:sz w:val="20"/>
          <w:szCs w:val="20"/>
        </w:rPr>
        <w:t>Pozn. Ve vícekolovém turnaji, hráč musí potkat tři různé mezinárodní mistry. Ten samý hráč nemůže být počítán za dvě různé osoby</w:t>
      </w:r>
    </w:p>
    <w:p w:rsidR="000E161F" w:rsidRDefault="000E161F" w:rsidP="000E161F">
      <w:pPr>
        <w:ind w:left="709" w:hanging="709"/>
        <w:jc w:val="both"/>
        <w:rPr>
          <w:b/>
          <w:sz w:val="22"/>
          <w:szCs w:val="22"/>
        </w:rPr>
      </w:pPr>
    </w:p>
    <w:p w:rsidR="00BC425C" w:rsidRPr="000E161F" w:rsidRDefault="00BC425C" w:rsidP="000E161F">
      <w:pPr>
        <w:ind w:left="709" w:hanging="709"/>
        <w:jc w:val="both"/>
        <w:rPr>
          <w:b/>
          <w:sz w:val="22"/>
          <w:szCs w:val="22"/>
        </w:rPr>
      </w:pPr>
      <w:r w:rsidRPr="000E161F">
        <w:rPr>
          <w:b/>
          <w:sz w:val="22"/>
          <w:szCs w:val="22"/>
        </w:rPr>
        <w:t xml:space="preserve">1.46 </w:t>
      </w:r>
      <w:r w:rsidRPr="000E161F">
        <w:rPr>
          <w:b/>
          <w:sz w:val="22"/>
          <w:szCs w:val="22"/>
        </w:rPr>
        <w:tab/>
        <w:t>Rating soupeřů</w:t>
      </w:r>
    </w:p>
    <w:p w:rsidR="000E161F" w:rsidRDefault="000E161F">
      <w:pPr>
        <w:pStyle w:val="Default"/>
        <w:ind w:left="1843" w:hanging="703"/>
        <w:jc w:val="both"/>
        <w:rPr>
          <w:color w:val="auto"/>
          <w:sz w:val="22"/>
          <w:szCs w:val="22"/>
        </w:rPr>
      </w:pPr>
    </w:p>
    <w:p w:rsidR="00BC425C" w:rsidRDefault="00BC425C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1.46</w:t>
      </w:r>
      <w:r w:rsidR="000E161F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Používá se ratingová listina (FRL) platná ke dni zahájení turnaje, viz výjimka 1.1</w:t>
      </w:r>
      <w:r w:rsidR="000E161F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Ratingy hráčů z federace, která je dočasně vyloučena z FIDE v době zahájení turnaje, můžou být stanoveny na základě žádosti zaslané na sekretariát FIDE. </w:t>
      </w:r>
    </w:p>
    <w:p w:rsidR="000E161F" w:rsidRPr="001F6FD4" w:rsidRDefault="000E161F" w:rsidP="000E161F">
      <w:pPr>
        <w:pStyle w:val="Default"/>
        <w:ind w:left="1560" w:hanging="851"/>
        <w:jc w:val="both"/>
        <w:rPr>
          <w:color w:val="auto"/>
          <w:sz w:val="12"/>
          <w:szCs w:val="12"/>
        </w:rPr>
      </w:pPr>
    </w:p>
    <w:p w:rsidR="00BC425C" w:rsidRDefault="00BC425C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1.46</w:t>
      </w:r>
      <w:r w:rsidR="000E161F">
        <w:rPr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Pro účely normy je minimální rating soupeřů (ratingová podlaha) tato:</w:t>
      </w:r>
    </w:p>
    <w:p w:rsidR="00BC425C" w:rsidRDefault="00BC425C" w:rsidP="000E161F">
      <w:pPr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Velmistr (GM) 2200 </w:t>
      </w:r>
    </w:p>
    <w:p w:rsidR="00BC425C" w:rsidRDefault="00BC425C" w:rsidP="000E161F">
      <w:pPr>
        <w:pStyle w:val="Default"/>
        <w:ind w:left="1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Mezinárodní mistr (IM) 2050 </w:t>
      </w:r>
    </w:p>
    <w:p w:rsidR="00BC425C" w:rsidRDefault="00BC425C" w:rsidP="000E161F">
      <w:pPr>
        <w:pStyle w:val="Default"/>
        <w:ind w:left="1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Velmistryně (WGM) 2000 </w:t>
      </w:r>
    </w:p>
    <w:p w:rsidR="00BC425C" w:rsidRDefault="00BC425C" w:rsidP="000E161F">
      <w:pPr>
        <w:pStyle w:val="Default"/>
        <w:ind w:left="1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Mezinárodní mistryně (WIM)1850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0E161F" w:rsidRPr="001F6FD4" w:rsidRDefault="000E161F" w:rsidP="000E161F">
      <w:pPr>
        <w:pStyle w:val="Default"/>
        <w:ind w:left="1560" w:hanging="851"/>
        <w:jc w:val="both"/>
        <w:rPr>
          <w:color w:val="auto"/>
          <w:sz w:val="12"/>
          <w:szCs w:val="12"/>
        </w:rPr>
      </w:pPr>
    </w:p>
    <w:p w:rsidR="00BC425C" w:rsidRDefault="00BC425C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1.46c </w:t>
      </w:r>
      <w:r>
        <w:rPr>
          <w:color w:val="auto"/>
          <w:sz w:val="22"/>
          <w:szCs w:val="22"/>
        </w:rPr>
        <w:tab/>
        <w:t xml:space="preserve">Na tuto ratingovou podlahu je možné povýšit maximálně jednoho hráče. Jestliže pod touto podlahou je více hráčů než jeden, zvýší se rating soupeře s nejnižším ratingem. </w:t>
      </w:r>
    </w:p>
    <w:p w:rsidR="000E161F" w:rsidRPr="001F6FD4" w:rsidRDefault="000E161F" w:rsidP="000E161F">
      <w:pPr>
        <w:pStyle w:val="Default"/>
        <w:ind w:left="1560" w:hanging="851"/>
        <w:jc w:val="both"/>
        <w:rPr>
          <w:color w:val="auto"/>
          <w:sz w:val="12"/>
          <w:szCs w:val="12"/>
        </w:rPr>
      </w:pPr>
    </w:p>
    <w:p w:rsidR="00A2197A" w:rsidRDefault="00BC425C" w:rsidP="00A2197A">
      <w:pPr>
        <w:pStyle w:val="Default"/>
        <w:ind w:left="1560" w:hanging="82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1.46d </w:t>
      </w:r>
      <w:r>
        <w:rPr>
          <w:color w:val="auto"/>
          <w:sz w:val="22"/>
          <w:szCs w:val="22"/>
        </w:rPr>
        <w:tab/>
        <w:t xml:space="preserve">Soupeři bez ratingu, nespadající pod 1.46c jsou považováni za hráče s ratingem </w:t>
      </w:r>
      <w:r w:rsidR="00180783">
        <w:rPr>
          <w:color w:val="auto"/>
          <w:sz w:val="22"/>
          <w:szCs w:val="22"/>
        </w:rPr>
        <w:t>1000</w:t>
      </w:r>
      <w:r>
        <w:rPr>
          <w:color w:val="auto"/>
          <w:sz w:val="22"/>
          <w:szCs w:val="22"/>
        </w:rPr>
        <w:t xml:space="preserve">. </w:t>
      </w:r>
      <w:r w:rsidR="00180783">
        <w:rPr>
          <w:color w:val="auto"/>
          <w:sz w:val="22"/>
          <w:szCs w:val="22"/>
        </w:rPr>
        <w:t xml:space="preserve">Minimální počet soupeřů s ratingem - viz tabulka 1.72. </w:t>
      </w:r>
      <w:r w:rsidR="00A2197A">
        <w:rPr>
          <w:color w:val="auto"/>
          <w:sz w:val="22"/>
          <w:szCs w:val="22"/>
        </w:rPr>
        <w:t xml:space="preserve">Může být také vypočítán tak, že maximální počet hráčů bez ratingu je 20 procent (součet počtu protihráčů + 1). </w:t>
      </w:r>
    </w:p>
    <w:p w:rsidR="000E161F" w:rsidRDefault="000E161F">
      <w:pPr>
        <w:pStyle w:val="Default"/>
        <w:ind w:left="1134" w:hanging="574"/>
        <w:jc w:val="both"/>
        <w:rPr>
          <w:color w:val="auto"/>
          <w:sz w:val="22"/>
          <w:szCs w:val="22"/>
        </w:rPr>
      </w:pPr>
    </w:p>
    <w:p w:rsidR="00BC425C" w:rsidRPr="000E161F" w:rsidRDefault="00BC425C" w:rsidP="000E161F">
      <w:pPr>
        <w:pStyle w:val="Default"/>
        <w:ind w:left="709" w:hanging="709"/>
        <w:jc w:val="both"/>
        <w:rPr>
          <w:b/>
          <w:color w:val="auto"/>
          <w:sz w:val="22"/>
          <w:szCs w:val="22"/>
        </w:rPr>
      </w:pPr>
      <w:r w:rsidRPr="000E161F">
        <w:rPr>
          <w:b/>
          <w:color w:val="auto"/>
          <w:sz w:val="22"/>
          <w:szCs w:val="22"/>
        </w:rPr>
        <w:t xml:space="preserve">1.47 </w:t>
      </w:r>
      <w:r w:rsidRPr="000E161F">
        <w:rPr>
          <w:b/>
          <w:color w:val="auto"/>
          <w:sz w:val="22"/>
          <w:szCs w:val="22"/>
        </w:rPr>
        <w:tab/>
        <w:t xml:space="preserve">Ratingový průměr soupeřů </w:t>
      </w:r>
    </w:p>
    <w:p w:rsidR="000E161F" w:rsidRDefault="000E161F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</w:p>
    <w:p w:rsidR="00BC425C" w:rsidRDefault="00BC425C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1.47a </w:t>
      </w:r>
      <w:r>
        <w:rPr>
          <w:color w:val="auto"/>
          <w:sz w:val="22"/>
          <w:szCs w:val="22"/>
        </w:rPr>
        <w:tab/>
        <w:t>Je to součet ratingů soupeřů dělený počtem soupeřů. Nutno brát v úvahu 1.46</w:t>
      </w:r>
      <w:r w:rsidR="008D0630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. </w:t>
      </w:r>
    </w:p>
    <w:p w:rsidR="000E161F" w:rsidRDefault="000E161F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</w:p>
    <w:p w:rsidR="00BC425C" w:rsidRDefault="00BC425C" w:rsidP="000E161F">
      <w:pPr>
        <w:pStyle w:val="Default"/>
        <w:ind w:left="156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1.47b</w:t>
      </w:r>
      <w:r>
        <w:rPr>
          <w:color w:val="auto"/>
          <w:sz w:val="22"/>
          <w:szCs w:val="22"/>
        </w:rPr>
        <w:tab/>
        <w:t>Zaokrouhlování průměrného ratingu se provádí směrem k nejbližšímu celému číslu. Zlomek 0.5 se zaokrouhluje nahoru.</w:t>
      </w:r>
    </w:p>
    <w:p w:rsidR="00BC425C" w:rsidRDefault="00BC425C">
      <w:pPr>
        <w:pStyle w:val="Default"/>
        <w:ind w:left="1560" w:hanging="7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Pr="000E161F" w:rsidRDefault="00BC425C" w:rsidP="000E161F">
      <w:pPr>
        <w:pStyle w:val="Default"/>
        <w:jc w:val="both"/>
        <w:rPr>
          <w:b/>
          <w:color w:val="auto"/>
          <w:sz w:val="22"/>
          <w:szCs w:val="22"/>
        </w:rPr>
      </w:pPr>
      <w:r w:rsidRPr="000E161F">
        <w:rPr>
          <w:b/>
          <w:color w:val="auto"/>
          <w:sz w:val="22"/>
          <w:szCs w:val="22"/>
        </w:rPr>
        <w:t xml:space="preserve">1.48 </w:t>
      </w:r>
      <w:r w:rsidRPr="000E161F">
        <w:rPr>
          <w:b/>
          <w:color w:val="auto"/>
          <w:sz w:val="22"/>
          <w:szCs w:val="22"/>
        </w:rPr>
        <w:tab/>
        <w:t>Výkonový rating (performance – R</w:t>
      </w:r>
      <w:r w:rsidRPr="000E161F">
        <w:rPr>
          <w:b/>
          <w:color w:val="auto"/>
          <w:sz w:val="22"/>
          <w:szCs w:val="22"/>
          <w:vertAlign w:val="subscript"/>
        </w:rPr>
        <w:t>p</w:t>
      </w:r>
      <w:r w:rsidRPr="000E161F">
        <w:rPr>
          <w:b/>
          <w:color w:val="auto"/>
          <w:sz w:val="22"/>
          <w:szCs w:val="22"/>
        </w:rPr>
        <w:t xml:space="preserve">) </w:t>
      </w:r>
    </w:p>
    <w:p w:rsidR="001F6FD4" w:rsidRDefault="001F6FD4" w:rsidP="000E161F">
      <w:pPr>
        <w:pStyle w:val="Default"/>
        <w:ind w:left="1120" w:hanging="400"/>
        <w:jc w:val="both"/>
        <w:rPr>
          <w:color w:val="auto"/>
          <w:sz w:val="22"/>
          <w:szCs w:val="22"/>
        </w:rPr>
      </w:pPr>
    </w:p>
    <w:p w:rsidR="00BC425C" w:rsidRDefault="00BC425C" w:rsidP="000E161F">
      <w:pPr>
        <w:pStyle w:val="Default"/>
        <w:ind w:left="1120" w:hanging="4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 dosažení normy hráč musí dosáhnout minimálního výkonu, uvedeného níže: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798"/>
        <w:gridCol w:w="2305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18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Minimální úroveň</w:t>
            </w:r>
          </w:p>
          <w:p w:rsidR="00BC425C" w:rsidRDefault="00BC425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před zaokrouhlením</w:t>
            </w:r>
          </w:p>
        </w:tc>
        <w:tc>
          <w:tcPr>
            <w:tcW w:w="2305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Minimální úroveň</w:t>
            </w:r>
          </w:p>
          <w:p w:rsidR="00BC425C" w:rsidRDefault="00BC425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po zaokrouhlení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</w:t>
            </w:r>
          </w:p>
        </w:tc>
        <w:tc>
          <w:tcPr>
            <w:tcW w:w="2798" w:type="dxa"/>
          </w:tcPr>
          <w:p w:rsidR="00BC425C" w:rsidRDefault="00BC425C" w:rsidP="000E161F">
            <w:pPr>
              <w:ind w:left="1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161F">
              <w:rPr>
                <w:sz w:val="22"/>
                <w:szCs w:val="22"/>
              </w:rPr>
              <w:t>599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2305" w:type="dxa"/>
          </w:tcPr>
          <w:p w:rsidR="00BC425C" w:rsidRDefault="00BC425C" w:rsidP="000E1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0E161F">
              <w:rPr>
                <w:sz w:val="22"/>
                <w:szCs w:val="22"/>
              </w:rPr>
              <w:t>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IM</w:t>
            </w:r>
          </w:p>
        </w:tc>
        <w:tc>
          <w:tcPr>
            <w:tcW w:w="2798" w:type="dxa"/>
          </w:tcPr>
          <w:p w:rsidR="00BC425C" w:rsidRDefault="00BC425C" w:rsidP="000E161F">
            <w:pPr>
              <w:pStyle w:val="Default"/>
              <w:ind w:left="124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0E161F">
              <w:rPr>
                <w:color w:val="auto"/>
                <w:sz w:val="22"/>
                <w:szCs w:val="22"/>
              </w:rPr>
              <w:t>49</w:t>
            </w:r>
            <w:r>
              <w:rPr>
                <w:color w:val="auto"/>
                <w:sz w:val="22"/>
                <w:szCs w:val="22"/>
              </w:rPr>
              <w:t>.5</w:t>
            </w:r>
          </w:p>
        </w:tc>
        <w:tc>
          <w:tcPr>
            <w:tcW w:w="2305" w:type="dxa"/>
          </w:tcPr>
          <w:p w:rsidR="00BC425C" w:rsidRDefault="00BC425C" w:rsidP="000E16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245</w:t>
            </w:r>
            <w:r w:rsidR="000E161F">
              <w:rPr>
                <w:color w:val="auto"/>
                <w:sz w:val="22"/>
                <w:szCs w:val="22"/>
              </w:rPr>
              <w:t>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WGM</w:t>
            </w:r>
          </w:p>
        </w:tc>
        <w:tc>
          <w:tcPr>
            <w:tcW w:w="2798" w:type="dxa"/>
          </w:tcPr>
          <w:p w:rsidR="00BC425C" w:rsidRDefault="00BC425C" w:rsidP="000E161F">
            <w:pPr>
              <w:pStyle w:val="Default"/>
              <w:ind w:left="124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0E161F">
              <w:rPr>
                <w:color w:val="auto"/>
                <w:sz w:val="22"/>
                <w:szCs w:val="22"/>
              </w:rPr>
              <w:t>399</w:t>
            </w:r>
            <w:r>
              <w:rPr>
                <w:color w:val="auto"/>
                <w:sz w:val="22"/>
                <w:szCs w:val="22"/>
              </w:rPr>
              <w:t>.5</w:t>
            </w:r>
          </w:p>
        </w:tc>
        <w:tc>
          <w:tcPr>
            <w:tcW w:w="2305" w:type="dxa"/>
          </w:tcPr>
          <w:p w:rsidR="00BC425C" w:rsidRDefault="00BC425C" w:rsidP="000E16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240</w:t>
            </w:r>
            <w:r w:rsidR="000E161F">
              <w:rPr>
                <w:color w:val="auto"/>
                <w:sz w:val="22"/>
                <w:szCs w:val="22"/>
              </w:rPr>
              <w:t>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WIM</w:t>
            </w:r>
          </w:p>
        </w:tc>
        <w:tc>
          <w:tcPr>
            <w:tcW w:w="2798" w:type="dxa"/>
          </w:tcPr>
          <w:p w:rsidR="00BC425C" w:rsidRDefault="00BC425C" w:rsidP="000E161F">
            <w:pPr>
              <w:pStyle w:val="Default"/>
              <w:ind w:left="124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  <w:r w:rsidR="000E161F">
              <w:rPr>
                <w:color w:val="auto"/>
                <w:sz w:val="22"/>
                <w:szCs w:val="22"/>
              </w:rPr>
              <w:t>49</w:t>
            </w:r>
            <w:r>
              <w:rPr>
                <w:color w:val="auto"/>
                <w:sz w:val="22"/>
                <w:szCs w:val="22"/>
              </w:rPr>
              <w:t>.5</w:t>
            </w:r>
          </w:p>
        </w:tc>
        <w:tc>
          <w:tcPr>
            <w:tcW w:w="2305" w:type="dxa"/>
          </w:tcPr>
          <w:p w:rsidR="00BC425C" w:rsidRDefault="00BC425C" w:rsidP="000E16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225</w:t>
            </w:r>
            <w:r w:rsidR="000E161F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BC425C" w:rsidRDefault="00BC425C">
      <w:pPr>
        <w:pStyle w:val="Default"/>
        <w:ind w:left="1400" w:hanging="8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1120" w:hanging="560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Výpočet výkonového ratingu (performance – R</w:t>
      </w:r>
      <w:r>
        <w:rPr>
          <w:color w:val="auto"/>
          <w:sz w:val="22"/>
          <w:szCs w:val="22"/>
          <w:vertAlign w:val="subscript"/>
        </w:rPr>
        <w:t>p</w:t>
      </w:r>
      <w:r>
        <w:rPr>
          <w:color w:val="auto"/>
          <w:sz w:val="22"/>
          <w:szCs w:val="22"/>
        </w:rPr>
        <w:t>):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BC425C" w:rsidRPr="001F6FD4" w:rsidRDefault="00BC425C">
      <w:pPr>
        <w:pStyle w:val="Default"/>
        <w:ind w:left="1120" w:hanging="560"/>
        <w:jc w:val="both"/>
        <w:rPr>
          <w:color w:val="auto"/>
          <w:sz w:val="12"/>
          <w:szCs w:val="1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  <w:vertAlign w:val="subscript"/>
        </w:rPr>
        <w:t>p</w:t>
      </w:r>
      <w:r>
        <w:rPr>
          <w:color w:val="auto"/>
          <w:sz w:val="22"/>
          <w:szCs w:val="22"/>
        </w:rPr>
        <w:t xml:space="preserve">  =  R</w:t>
      </w:r>
      <w:r>
        <w:rPr>
          <w:color w:val="auto"/>
          <w:sz w:val="22"/>
          <w:szCs w:val="22"/>
          <w:vertAlign w:val="subscript"/>
        </w:rPr>
        <w:t>a</w:t>
      </w:r>
      <w:r>
        <w:rPr>
          <w:color w:val="auto"/>
          <w:sz w:val="22"/>
          <w:szCs w:val="22"/>
        </w:rPr>
        <w:t xml:space="preserve">  +  d</w:t>
      </w:r>
      <w:r>
        <w:rPr>
          <w:color w:val="auto"/>
          <w:sz w:val="22"/>
          <w:szCs w:val="22"/>
          <w:vertAlign w:val="subscript"/>
        </w:rPr>
        <w:t>p</w:t>
      </w:r>
      <w:r>
        <w:rPr>
          <w:color w:val="auto"/>
          <w:sz w:val="22"/>
          <w:szCs w:val="22"/>
        </w:rPr>
        <w:t xml:space="preserve">  (viz tabulka níže) </w:t>
      </w:r>
    </w:p>
    <w:p w:rsidR="00BC425C" w:rsidRPr="001F6FD4" w:rsidRDefault="00BC425C">
      <w:pPr>
        <w:pStyle w:val="Default"/>
        <w:ind w:left="1120" w:hanging="560"/>
        <w:jc w:val="both"/>
        <w:rPr>
          <w:color w:val="auto"/>
          <w:sz w:val="12"/>
          <w:szCs w:val="12"/>
        </w:rPr>
      </w:pPr>
    </w:p>
    <w:p w:rsidR="00BC425C" w:rsidRDefault="00BC425C">
      <w:pPr>
        <w:pStyle w:val="Default"/>
        <w:ind w:left="1276" w:hanging="71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  <w:vertAlign w:val="subscript"/>
        </w:rPr>
        <w:t>a</w:t>
      </w:r>
      <w:r>
        <w:rPr>
          <w:color w:val="auto"/>
          <w:sz w:val="22"/>
          <w:szCs w:val="22"/>
        </w:rPr>
        <w:t xml:space="preserve"> =  </w:t>
      </w:r>
      <w:r>
        <w:rPr>
          <w:color w:val="auto"/>
          <w:sz w:val="22"/>
          <w:szCs w:val="22"/>
        </w:rPr>
        <w:tab/>
        <w:t>průměrný rating soupeřů  +  rozdíl ratingu „d</w:t>
      </w:r>
      <w:r>
        <w:rPr>
          <w:color w:val="auto"/>
          <w:sz w:val="22"/>
          <w:szCs w:val="22"/>
          <w:vertAlign w:val="subscript"/>
        </w:rPr>
        <w:t>p</w:t>
      </w:r>
      <w:r>
        <w:rPr>
          <w:color w:val="auto"/>
          <w:sz w:val="22"/>
          <w:szCs w:val="22"/>
        </w:rPr>
        <w:t xml:space="preserve">“ z tabulky </w:t>
      </w:r>
      <w:r w:rsidR="008D0630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.1a FIDE Rating </w:t>
      </w:r>
      <w:r>
        <w:rPr>
          <w:color w:val="auto"/>
          <w:sz w:val="22"/>
          <w:szCs w:val="22"/>
        </w:rPr>
        <w:lastRenderedPageBreak/>
        <w:t>Regulations B.02 (úprava z procentuálního výsledku „p“ na rozdíl ratingů „d</w:t>
      </w:r>
      <w:r>
        <w:rPr>
          <w:color w:val="auto"/>
          <w:sz w:val="22"/>
          <w:szCs w:val="22"/>
          <w:vertAlign w:val="subscript"/>
        </w:rPr>
        <w:t>p</w:t>
      </w:r>
      <w:r>
        <w:rPr>
          <w:color w:val="auto"/>
          <w:sz w:val="22"/>
          <w:szCs w:val="22"/>
        </w:rPr>
        <w:t xml:space="preserve">“).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BC425C" w:rsidRDefault="00BC425C">
      <w:pPr>
        <w:pStyle w:val="Default"/>
        <w:ind w:left="1276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1.48a </w:t>
      </w:r>
      <w:r>
        <w:rPr>
          <w:color w:val="auto"/>
          <w:sz w:val="22"/>
          <w:szCs w:val="22"/>
        </w:rPr>
        <w:tab/>
        <w:t>Minimální průměr ratingů R</w:t>
      </w:r>
      <w:r>
        <w:rPr>
          <w:color w:val="auto"/>
          <w:sz w:val="22"/>
          <w:szCs w:val="22"/>
          <w:vertAlign w:val="subscript"/>
        </w:rPr>
        <w:t>a</w:t>
      </w:r>
      <w:r>
        <w:rPr>
          <w:color w:val="auto"/>
          <w:sz w:val="22"/>
          <w:szCs w:val="22"/>
        </w:rPr>
        <w:t xml:space="preserve"> soupeřů je následující: </w:t>
      </w:r>
    </w:p>
    <w:p w:rsidR="00BC425C" w:rsidRDefault="00BC425C">
      <w:pPr>
        <w:pStyle w:val="Default"/>
        <w:ind w:left="1276" w:hanging="70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GM 2380, </w:t>
      </w:r>
      <w:r w:rsidR="008D0630">
        <w:rPr>
          <w:color w:val="auto"/>
          <w:sz w:val="22"/>
          <w:szCs w:val="22"/>
        </w:rPr>
        <w:t xml:space="preserve">IM 2230, </w:t>
      </w:r>
      <w:r>
        <w:rPr>
          <w:color w:val="auto"/>
          <w:sz w:val="22"/>
          <w:szCs w:val="22"/>
        </w:rPr>
        <w:t xml:space="preserve">WGM 2180, WIM 2030. </w:t>
      </w:r>
    </w:p>
    <w:p w:rsidR="00BB7DA1" w:rsidRDefault="00BB7DA1" w:rsidP="00BB7DA1">
      <w:pPr>
        <w:pStyle w:val="Default"/>
        <w:jc w:val="both"/>
        <w:rPr>
          <w:b/>
          <w:color w:val="auto"/>
          <w:sz w:val="22"/>
          <w:szCs w:val="22"/>
        </w:rPr>
      </w:pPr>
    </w:p>
    <w:p w:rsidR="00BC425C" w:rsidRDefault="00BB7DA1" w:rsidP="00BB7DA1">
      <w:pPr>
        <w:pStyle w:val="Default"/>
        <w:jc w:val="both"/>
      </w:pPr>
      <w:r w:rsidRPr="000E161F">
        <w:rPr>
          <w:b/>
          <w:color w:val="auto"/>
          <w:sz w:val="22"/>
          <w:szCs w:val="22"/>
        </w:rPr>
        <w:t>1.4</w:t>
      </w:r>
      <w:r>
        <w:rPr>
          <w:b/>
          <w:color w:val="auto"/>
          <w:sz w:val="22"/>
          <w:szCs w:val="22"/>
        </w:rPr>
        <w:t>9</w:t>
      </w:r>
      <w:r w:rsidRPr="000E161F">
        <w:rPr>
          <w:b/>
          <w:color w:val="auto"/>
          <w:sz w:val="22"/>
          <w:szCs w:val="22"/>
        </w:rPr>
        <w:t xml:space="preserve"> </w:t>
      </w:r>
      <w:r w:rsidRPr="000E161F">
        <w:rPr>
          <w:b/>
          <w:color w:val="auto"/>
          <w:sz w:val="22"/>
          <w:szCs w:val="22"/>
        </w:rPr>
        <w:tab/>
      </w:r>
      <w:r w:rsidR="00BC425C">
        <w:t xml:space="preserve">  </w:t>
      </w:r>
    </w:p>
    <w:tbl>
      <w:tblPr>
        <w:tblW w:w="0" w:type="auto"/>
        <w:tblInd w:w="1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22"/>
        <w:gridCol w:w="584"/>
        <w:gridCol w:w="522"/>
        <w:gridCol w:w="584"/>
        <w:gridCol w:w="522"/>
        <w:gridCol w:w="584"/>
        <w:gridCol w:w="522"/>
        <w:gridCol w:w="657"/>
        <w:gridCol w:w="522"/>
        <w:gridCol w:w="657"/>
        <w:gridCol w:w="522"/>
        <w:gridCol w:w="657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position w:val="-10"/>
                <w:sz w:val="22"/>
                <w:szCs w:val="22"/>
                <w:vertAlign w:val="subscript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position w:val="-10"/>
                <w:sz w:val="22"/>
                <w:szCs w:val="22"/>
                <w:vertAlign w:val="subscript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position w:val="-10"/>
                <w:sz w:val="22"/>
                <w:szCs w:val="22"/>
                <w:vertAlign w:val="subscript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position w:val="-10"/>
                <w:sz w:val="22"/>
                <w:szCs w:val="22"/>
                <w:vertAlign w:val="subscript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position w:val="-10"/>
                <w:sz w:val="22"/>
                <w:szCs w:val="22"/>
                <w:vertAlign w:val="subscript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position w:val="-10"/>
                <w:sz w:val="22"/>
                <w:szCs w:val="22"/>
                <w:vertAlign w:val="subscript"/>
              </w:rPr>
              <w:t xml:space="preserve">p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800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-296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-309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-322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-336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-351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-366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-383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-401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-422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-444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-470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-501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-538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-589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-677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-800 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.67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C425C" w:rsidRDefault="00BC425C">
      <w:pPr>
        <w:pStyle w:val="Default"/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:rsidR="00BC425C" w:rsidRDefault="00BC425C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  <w:r w:rsidRPr="008D0630">
        <w:rPr>
          <w:b/>
          <w:color w:val="auto"/>
          <w:sz w:val="22"/>
          <w:szCs w:val="22"/>
        </w:rPr>
        <w:t xml:space="preserve">1.5 </w:t>
      </w:r>
      <w:r w:rsidRPr="008D0630">
        <w:rPr>
          <w:b/>
          <w:color w:val="auto"/>
          <w:sz w:val="22"/>
          <w:szCs w:val="22"/>
        </w:rPr>
        <w:tab/>
        <w:t xml:space="preserve">Požadavky na udělení titulu, jsou-li splněny normy </w:t>
      </w:r>
    </w:p>
    <w:p w:rsidR="001F6FD4" w:rsidRPr="008D0630" w:rsidRDefault="001F6FD4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</w:t>
      </w:r>
      <w:r w:rsidR="00BB7DA1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Zisk dvou nebo více norem při rozehrání nejméně 27 partií.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</w:t>
      </w:r>
      <w:r w:rsidR="00BB7DA1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Jestliže norma je dostatečná pro více než jeden titul, pak může být použita jako část žádosti pro obě normy.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</w:t>
      </w:r>
      <w:r w:rsidR="00BB7DA1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Dosažení těchto ratingů: GM =2500, IM=2400, WGM=2300, WIM=2200 </w:t>
      </w:r>
    </w:p>
    <w:p w:rsidR="00BC425C" w:rsidRDefault="00BC425C">
      <w:pPr>
        <w:pStyle w:val="Default"/>
        <w:ind w:left="1985" w:hanging="84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</w:t>
      </w:r>
      <w:r w:rsidR="00BB7DA1">
        <w:rPr>
          <w:color w:val="auto"/>
          <w:sz w:val="22"/>
          <w:szCs w:val="22"/>
        </w:rPr>
        <w:t>3a</w:t>
      </w:r>
      <w:r>
        <w:rPr>
          <w:color w:val="auto"/>
          <w:sz w:val="22"/>
          <w:szCs w:val="22"/>
        </w:rPr>
        <w:t xml:space="preserve">  Tento rating nemusí být publikován. Může být dosažen v průběhu ratingového období nebo dokonce v průběhu turnaje. Hráč potom může za účelem žádosti o titul ignorovat další výsledky</w:t>
      </w:r>
      <w:r>
        <w:rPr>
          <w:i/>
          <w:iCs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Nicméně zodpovědnost za průkaznost má federace i žadatel o titul. Doporučuje se, aby tento hráč si vyžádal potvrzení u hlavního rozhodčího té soutěže, kde dosáhl úroveň ratingu v jejím průběhu. Takový certifikát by měl obsahovat datum každé sehrané partie. FIDE příjme žádost o titul, založenou na nepublikovaných údajích pouze po dohodě se správcem ratingu (Rating Administr</w:t>
      </w:r>
      <w:r w:rsidR="00EC4AB2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>tor) a předsedou Klasifikační komise. Rating dosažený v průběhu ratingovaného období může být potvrzen pouze po zaslání všech turnaj</w:t>
      </w:r>
      <w:r w:rsidR="008D0630">
        <w:rPr>
          <w:color w:val="auto"/>
          <w:sz w:val="22"/>
          <w:szCs w:val="22"/>
        </w:rPr>
        <w:t>ů</w:t>
      </w:r>
      <w:r>
        <w:rPr>
          <w:color w:val="auto"/>
          <w:sz w:val="22"/>
          <w:szCs w:val="22"/>
        </w:rPr>
        <w:t xml:space="preserve"> z tohoto období a po provedení zápočtu na FIDE.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</w:t>
      </w:r>
      <w:r w:rsidR="00BB7DA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Výsledek pro udělení titulu platí, pokud je v souladu s Pravidly o udělování mezinárodních titulů, platných v době turnaje, kde bylo normy dosaženo.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</w:t>
      </w:r>
      <w:r w:rsidR="00BB7DA1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</w:t>
      </w:r>
      <w:r w:rsidR="003841B2">
        <w:rPr>
          <w:color w:val="auto"/>
          <w:sz w:val="22"/>
          <w:szCs w:val="22"/>
        </w:rPr>
        <w:t xml:space="preserve"> N</w:t>
      </w:r>
      <w:r>
        <w:rPr>
          <w:color w:val="auto"/>
          <w:sz w:val="22"/>
          <w:szCs w:val="22"/>
        </w:rPr>
        <w:t xml:space="preserve">ormy </w:t>
      </w:r>
      <w:r w:rsidR="00150EB0">
        <w:rPr>
          <w:color w:val="auto"/>
          <w:sz w:val="22"/>
          <w:szCs w:val="22"/>
        </w:rPr>
        <w:t xml:space="preserve">získané před 1.7.2005 musí být registrovány na FIDE před 1.7.2013 </w:t>
      </w:r>
      <w:r w:rsidR="00A35E87">
        <w:rPr>
          <w:color w:val="auto"/>
          <w:sz w:val="22"/>
          <w:szCs w:val="22"/>
        </w:rPr>
        <w:t xml:space="preserve">jinak </w:t>
      </w:r>
      <w:r w:rsidR="00150EB0">
        <w:rPr>
          <w:color w:val="auto"/>
          <w:sz w:val="22"/>
          <w:szCs w:val="22"/>
        </w:rPr>
        <w:t>bud</w:t>
      </w:r>
      <w:r w:rsidR="00A35E87">
        <w:rPr>
          <w:color w:val="auto"/>
          <w:sz w:val="22"/>
          <w:szCs w:val="22"/>
        </w:rPr>
        <w:t>ou považovány za propadlé.</w:t>
      </w:r>
    </w:p>
    <w:p w:rsidR="007538B4" w:rsidRDefault="007538B4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1F6FD4" w:rsidRDefault="001F6FD4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1F6FD4" w:rsidRDefault="001F6FD4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BC425C" w:rsidRDefault="00BC425C">
      <w:pPr>
        <w:ind w:left="1700" w:hanging="8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425C" w:rsidRPr="00A35E87" w:rsidRDefault="00BC425C" w:rsidP="00A35E87">
      <w:pPr>
        <w:pStyle w:val="Default"/>
        <w:ind w:left="426" w:hanging="42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1.6 Souhrn požadavků na titulární turnaje</w:t>
      </w:r>
      <w:r w:rsidR="00A35E87">
        <w:rPr>
          <w:b/>
          <w:bCs/>
          <w:color w:val="auto"/>
          <w:sz w:val="22"/>
          <w:szCs w:val="22"/>
        </w:rPr>
        <w:t xml:space="preserve">. </w:t>
      </w:r>
      <w:r w:rsidR="00A35E87" w:rsidRPr="00A35E87">
        <w:rPr>
          <w:b/>
          <w:bCs/>
          <w:color w:val="auto"/>
          <w:sz w:val="22"/>
          <w:szCs w:val="22"/>
        </w:rPr>
        <w:t xml:space="preserve">V případě jakýchkoliv nejasností, </w:t>
      </w:r>
      <w:r w:rsidR="00A35E87">
        <w:rPr>
          <w:b/>
          <w:bCs/>
          <w:color w:val="auto"/>
          <w:sz w:val="22"/>
          <w:szCs w:val="22"/>
        </w:rPr>
        <w:t xml:space="preserve">výše uvedené </w:t>
      </w:r>
      <w:r w:rsidR="00A35E87" w:rsidRPr="00A35E87">
        <w:rPr>
          <w:b/>
          <w:bCs/>
          <w:color w:val="auto"/>
          <w:sz w:val="22"/>
          <w:szCs w:val="22"/>
        </w:rPr>
        <w:t>předpisy mají přednost.</w:t>
      </w:r>
    </w:p>
    <w:p w:rsidR="00BC425C" w:rsidRDefault="00BC425C">
      <w:pPr>
        <w:pStyle w:val="Default"/>
        <w:ind w:left="560" w:hanging="560"/>
        <w:jc w:val="both"/>
        <w:rPr>
          <w:color w:val="auto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678"/>
        <w:gridCol w:w="992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partií za den</w:t>
            </w: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více než 2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02" w:type="dxa"/>
          </w:tcPr>
          <w:p w:rsidR="00BC425C" w:rsidRDefault="00A35E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Hrací tempo</w:t>
            </w:r>
          </w:p>
        </w:tc>
        <w:tc>
          <w:tcPr>
            <w:tcW w:w="4678" w:type="dxa"/>
          </w:tcPr>
          <w:p w:rsidR="00BC425C" w:rsidRDefault="00384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C425C">
              <w:rPr>
                <w:sz w:val="22"/>
                <w:szCs w:val="22"/>
              </w:rPr>
              <w:t>inim</w:t>
            </w:r>
            <w:r>
              <w:rPr>
                <w:sz w:val="22"/>
                <w:szCs w:val="22"/>
              </w:rPr>
              <w:t>ální požadavky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35E87">
              <w:rPr>
                <w:sz w:val="22"/>
                <w:szCs w:val="22"/>
              </w:rPr>
              <w:t>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pro celou soutěž</w:t>
            </w:r>
          </w:p>
        </w:tc>
        <w:tc>
          <w:tcPr>
            <w:tcW w:w="4678" w:type="dxa"/>
          </w:tcPr>
          <w:p w:rsidR="00BC425C" w:rsidRDefault="00A35E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během</w:t>
            </w:r>
            <w:r w:rsidR="00BC425C">
              <w:rPr>
                <w:sz w:val="22"/>
                <w:szCs w:val="22"/>
              </w:rPr>
              <w:t xml:space="preserve"> 90 dn</w:t>
            </w:r>
            <w:r>
              <w:rPr>
                <w:sz w:val="22"/>
                <w:szCs w:val="22"/>
              </w:rPr>
              <w:t xml:space="preserve">ů, s výjimkami 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35E87">
              <w:rPr>
                <w:sz w:val="22"/>
                <w:szCs w:val="22"/>
              </w:rPr>
              <w:t>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Administrativní dohled</w:t>
            </w: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Mezinárodní (IA) nebo FIDE rozhodčí (FA)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35E87">
              <w:rPr>
                <w:sz w:val="22"/>
                <w:szCs w:val="22"/>
              </w:rPr>
              <w:t>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partií</w:t>
            </w: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9</w:t>
            </w:r>
            <w:r w:rsidR="00A35E87">
              <w:rPr>
                <w:sz w:val="22"/>
                <w:szCs w:val="22"/>
              </w:rPr>
              <w:t xml:space="preserve"> </w:t>
            </w:r>
            <w:r w:rsidR="003841B2">
              <w:rPr>
                <w:sz w:val="22"/>
                <w:szCs w:val="22"/>
              </w:rPr>
              <w:t xml:space="preserve">partií </w:t>
            </w:r>
            <w:r w:rsidR="00A35E87">
              <w:rPr>
                <w:sz w:val="22"/>
                <w:szCs w:val="22"/>
              </w:rPr>
              <w:t xml:space="preserve">(7 </w:t>
            </w:r>
            <w:r w:rsidR="003841B2">
              <w:rPr>
                <w:sz w:val="22"/>
                <w:szCs w:val="22"/>
              </w:rPr>
              <w:t xml:space="preserve">partií </w:t>
            </w:r>
            <w:r w:rsidR="00A35E87">
              <w:rPr>
                <w:sz w:val="22"/>
                <w:szCs w:val="22"/>
              </w:rPr>
              <w:t>v případě světových nebo kontine</w:t>
            </w:r>
            <w:r w:rsidR="003841B2">
              <w:rPr>
                <w:sz w:val="22"/>
                <w:szCs w:val="22"/>
              </w:rPr>
              <w:t>n</w:t>
            </w:r>
            <w:r w:rsidR="00A35E87">
              <w:rPr>
                <w:sz w:val="22"/>
                <w:szCs w:val="22"/>
              </w:rPr>
              <w:t>tálních</w:t>
            </w:r>
            <w:r w:rsidR="003841B2">
              <w:rPr>
                <w:sz w:val="22"/>
                <w:szCs w:val="22"/>
              </w:rPr>
              <w:t xml:space="preserve"> mistrovství na 7-9 kol)</w:t>
            </w:r>
            <w:r w:rsidR="00A35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1.41 </w:t>
            </w:r>
            <w:r w:rsidR="003841B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-</w:t>
            </w:r>
            <w:r w:rsidR="003841B2">
              <w:rPr>
                <w:sz w:val="22"/>
                <w:szCs w:val="22"/>
              </w:rPr>
              <w:t>d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soutěže</w:t>
            </w: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individuální zápasy</w:t>
            </w:r>
          </w:p>
        </w:tc>
        <w:tc>
          <w:tcPr>
            <w:tcW w:w="992" w:type="dxa"/>
          </w:tcPr>
          <w:p w:rsidR="00BC425C" w:rsidRDefault="00384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02" w:type="dxa"/>
          </w:tcPr>
          <w:p w:rsidR="00BC425C" w:rsidRDefault="00384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Nezapočitatelné</w:t>
            </w:r>
            <w:r w:rsidR="00BC425C">
              <w:rPr>
                <w:sz w:val="22"/>
                <w:szCs w:val="22"/>
              </w:rPr>
              <w:t xml:space="preserve"> partie</w:t>
            </w: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proti počítačům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odhadnuté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kontumované před začátkem hry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402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BC425C" w:rsidRDefault="00BC42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proti hráčům, kteří nepatří k federaci FIDE</w:t>
            </w:r>
          </w:p>
        </w:tc>
        <w:tc>
          <w:tcPr>
            <w:tcW w:w="992" w:type="dxa"/>
          </w:tcPr>
          <w:p w:rsidR="00BC425C" w:rsidRDefault="00BC42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425C" w:rsidRDefault="00BC425C">
      <w:pPr>
        <w:ind w:left="8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425C" w:rsidRDefault="003841B2" w:rsidP="003841B2">
      <w:pPr>
        <w:pStyle w:val="Default"/>
        <w:ind w:left="720" w:hanging="720"/>
        <w:rPr>
          <w:color w:val="auto"/>
          <w:sz w:val="22"/>
          <w:szCs w:val="22"/>
        </w:rPr>
      </w:pPr>
      <w:r w:rsidRPr="003841B2">
        <w:rPr>
          <w:b/>
          <w:color w:val="auto"/>
          <w:sz w:val="22"/>
          <w:szCs w:val="22"/>
        </w:rPr>
        <w:t>1.61.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="00BC425C">
        <w:rPr>
          <w:color w:val="auto"/>
          <w:sz w:val="22"/>
          <w:szCs w:val="22"/>
        </w:rPr>
        <w:t xml:space="preserve">Pro určení přesného počtu pro jednotlivé kategorie v níže uvedených tabulkách, je nutné vše propočítat dle článku 1.45. </w:t>
      </w:r>
    </w:p>
    <w:p w:rsidR="00BC425C" w:rsidRDefault="00BC425C">
      <w:pPr>
        <w:pStyle w:val="Default"/>
        <w:ind w:left="840"/>
        <w:jc w:val="both"/>
        <w:rPr>
          <w:color w:val="auto"/>
          <w:sz w:val="22"/>
          <w:szCs w:val="22"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00"/>
        <w:gridCol w:w="768"/>
      </w:tblGrid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Počet GM MO pro titul GM 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1/3 soupeřů, minimum </w:t>
            </w: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2"/>
                  <w:szCs w:val="22"/>
                </w:rPr>
                <w:t>3 GM</w:t>
              </w:r>
            </w:smartTag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1.45b</w:t>
            </w:r>
          </w:p>
        </w:tc>
      </w:tr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Počet IM MO pro titul IM 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1/3 soupeřů, minimum 3 IM</w:t>
            </w:r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1.45c</w:t>
            </w:r>
          </w:p>
        </w:tc>
      </w:tr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Počet WGM MO pro titul WGM 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1/3 soupeřů, minimum 3 WGM</w:t>
            </w:r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1.45d</w:t>
            </w:r>
          </w:p>
        </w:tc>
      </w:tr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Počet WIM MO pro titul WIM 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1/3 soupeřů, minimum 3 WIM</w:t>
            </w:r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1.45e</w:t>
            </w:r>
          </w:p>
        </w:tc>
      </w:tr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Minimální performance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 2600, IM 2450, WGM 2400, WIM 2250</w:t>
            </w:r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1.48</w:t>
            </w:r>
          </w:p>
        </w:tc>
      </w:tr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Min. průměr ratingu soupeřů  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2380 pro GM, 2230 pro IM, 2180 pro WGM, 2030 pro WIM</w:t>
            </w:r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  <w:r w:rsidR="003841B2">
              <w:rPr>
                <w:color w:val="auto"/>
                <w:sz w:val="22"/>
                <w:szCs w:val="22"/>
              </w:rPr>
              <w:t>7</w:t>
            </w:r>
          </w:p>
        </w:tc>
      </w:tr>
      <w:tr w:rsidR="00BC425C">
        <w:trPr>
          <w:jc w:val="center"/>
        </w:trPr>
        <w:tc>
          <w:tcPr>
            <w:tcW w:w="3227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Minimum bodů </w:t>
            </w:r>
          </w:p>
        </w:tc>
        <w:tc>
          <w:tcPr>
            <w:tcW w:w="6000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35 %</w:t>
            </w:r>
          </w:p>
        </w:tc>
        <w:tc>
          <w:tcPr>
            <w:tcW w:w="768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  <w:r w:rsidR="003841B2">
              <w:rPr>
                <w:color w:val="auto"/>
                <w:sz w:val="22"/>
                <w:szCs w:val="22"/>
              </w:rPr>
              <w:t>7</w:t>
            </w:r>
          </w:p>
        </w:tc>
      </w:tr>
    </w:tbl>
    <w:p w:rsidR="00BC425C" w:rsidRDefault="00BC425C">
      <w:pPr>
        <w:pStyle w:val="Default"/>
        <w:ind w:left="840"/>
        <w:jc w:val="both"/>
        <w:rPr>
          <w:color w:val="auto"/>
          <w:sz w:val="22"/>
          <w:szCs w:val="22"/>
        </w:rPr>
      </w:pPr>
    </w:p>
    <w:p w:rsidR="00BC425C" w:rsidRDefault="00BC425C">
      <w:pPr>
        <w:pStyle w:val="Default"/>
        <w:ind w:left="840" w:hanging="560"/>
        <w:jc w:val="both"/>
        <w:rPr>
          <w:color w:val="auto"/>
        </w:rPr>
      </w:pPr>
    </w:p>
    <w:p w:rsidR="00BC425C" w:rsidRDefault="00BC425C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  <w:r w:rsidRPr="00BB7DA1">
        <w:rPr>
          <w:b/>
          <w:color w:val="auto"/>
          <w:sz w:val="22"/>
          <w:szCs w:val="22"/>
        </w:rPr>
        <w:t xml:space="preserve">1.7 Souhrn požadavků </w:t>
      </w:r>
      <w:r w:rsidR="00BB7DA1">
        <w:rPr>
          <w:b/>
          <w:color w:val="auto"/>
          <w:sz w:val="22"/>
          <w:szCs w:val="22"/>
        </w:rPr>
        <w:t>v závislosti n</w:t>
      </w:r>
      <w:r w:rsidRPr="00BB7DA1">
        <w:rPr>
          <w:b/>
          <w:color w:val="auto"/>
          <w:sz w:val="22"/>
          <w:szCs w:val="22"/>
        </w:rPr>
        <w:t>a poč</w:t>
      </w:r>
      <w:r w:rsidR="00BB7DA1">
        <w:rPr>
          <w:b/>
          <w:color w:val="auto"/>
          <w:sz w:val="22"/>
          <w:szCs w:val="22"/>
        </w:rPr>
        <w:t>tu</w:t>
      </w:r>
      <w:r w:rsidRPr="00BB7DA1">
        <w:rPr>
          <w:b/>
          <w:color w:val="auto"/>
          <w:sz w:val="22"/>
          <w:szCs w:val="22"/>
        </w:rPr>
        <w:t xml:space="preserve"> </w:t>
      </w:r>
      <w:r w:rsidR="00BB7DA1">
        <w:rPr>
          <w:b/>
          <w:color w:val="auto"/>
          <w:sz w:val="22"/>
          <w:szCs w:val="22"/>
        </w:rPr>
        <w:t>partií</w:t>
      </w:r>
    </w:p>
    <w:p w:rsidR="00BB7DA1" w:rsidRDefault="00BB7DA1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</w:p>
    <w:p w:rsidR="00BB7DA1" w:rsidRPr="00DE3716" w:rsidRDefault="00BB7DA1" w:rsidP="00D762D3">
      <w:pPr>
        <w:pStyle w:val="Default"/>
        <w:ind w:left="993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1.71 </w:t>
      </w:r>
      <w:r>
        <w:rPr>
          <w:color w:val="auto"/>
          <w:sz w:val="22"/>
          <w:szCs w:val="22"/>
        </w:rPr>
        <w:tab/>
        <w:t>Určení přiměřenosti výsledku pro normu závisí na průměrném ratingu soupeřů. Tabulk</w:t>
      </w:r>
      <w:r w:rsidR="00D762D3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1.</w:t>
      </w:r>
      <w:r w:rsidR="00D762D3">
        <w:rPr>
          <w:color w:val="auto"/>
          <w:sz w:val="22"/>
          <w:szCs w:val="22"/>
        </w:rPr>
        <w:t>72</w:t>
      </w:r>
      <w:r>
        <w:rPr>
          <w:color w:val="auto"/>
          <w:sz w:val="22"/>
          <w:szCs w:val="22"/>
        </w:rPr>
        <w:t xml:space="preserve"> ukazuj</w:t>
      </w:r>
      <w:r w:rsidR="00D762D3">
        <w:rPr>
          <w:color w:val="auto"/>
          <w:sz w:val="22"/>
          <w:szCs w:val="22"/>
        </w:rPr>
        <w:t>í</w:t>
      </w:r>
      <w:r>
        <w:rPr>
          <w:color w:val="auto"/>
          <w:sz w:val="22"/>
          <w:szCs w:val="22"/>
        </w:rPr>
        <w:t xml:space="preserve"> rozsah pro turnaje do 19-ti kol. </w:t>
      </w:r>
      <w:r w:rsidR="00DE3716" w:rsidRPr="00DE3716">
        <w:rPr>
          <w:color w:val="auto"/>
          <w:sz w:val="22"/>
          <w:szCs w:val="22"/>
        </w:rPr>
        <w:t>Normy dosažené v turnaji s více než 13 koly se počítají pouze jako 13 partií.</w:t>
      </w:r>
    </w:p>
    <w:p w:rsidR="00BB7DA1" w:rsidRDefault="00BB7DA1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</w:p>
    <w:p w:rsidR="00D762D3" w:rsidRPr="00D762D3" w:rsidRDefault="00D762D3" w:rsidP="00D762D3">
      <w:pPr>
        <w:pStyle w:val="Default"/>
        <w:ind w:left="560" w:hanging="134"/>
        <w:jc w:val="both"/>
        <w:rPr>
          <w:color w:val="auto"/>
          <w:sz w:val="22"/>
          <w:szCs w:val="22"/>
        </w:rPr>
      </w:pPr>
      <w:r w:rsidRPr="00D762D3">
        <w:rPr>
          <w:color w:val="auto"/>
          <w:sz w:val="22"/>
          <w:szCs w:val="22"/>
        </w:rPr>
        <w:t>1.72 Tabulky</w:t>
      </w:r>
    </w:p>
    <w:p w:rsidR="00D762D3" w:rsidRPr="00BB7DA1" w:rsidRDefault="00D762D3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</w:p>
    <w:p w:rsidR="00BC425C" w:rsidRDefault="00BC425C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K dispozici pro 7 až 9 kolové kontinentální a světové mistrovství týmů </w:t>
      </w:r>
    </w:p>
    <w:p w:rsidR="00BC425C" w:rsidRDefault="00BC425C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tbl>
      <w:tblPr>
        <w:tblW w:w="92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1275"/>
        <w:gridCol w:w="1203"/>
        <w:gridCol w:w="1349"/>
        <w:gridCol w:w="1276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 kol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3 GM</w:t>
              </w:r>
            </w:smartTag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IM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WGM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Ratingova podlaha pro 1 hráče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jedné federace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federace žadatele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z jiných federací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2380-2441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2230-2291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2030-2091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2442-2497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2292-2347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2242-2297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2092-2147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4½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2498-2549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2348-2399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2298-2349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2148-2199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2550-2599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2400-2449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2350-2399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3½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2600-2649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2450-2499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2250-2299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2650-2701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2500-2551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2450-2501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2300-2351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2½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≥2702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≥2552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≥2352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</w:rPr>
      </w:pPr>
    </w:p>
    <w:p w:rsidR="00BC425C" w:rsidRDefault="00BC425C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</w:p>
    <w:p w:rsidR="00BC425C" w:rsidRDefault="00BC425C">
      <w:pPr>
        <w:pStyle w:val="Default"/>
        <w:rPr>
          <w:color w:val="auto"/>
        </w:rPr>
      </w:pPr>
      <w:r>
        <w:rPr>
          <w:b/>
          <w:bCs/>
          <w:color w:val="auto"/>
          <w:sz w:val="20"/>
          <w:szCs w:val="20"/>
        </w:rPr>
        <w:t xml:space="preserve">K dispozici pro 8 až 9 kolové kontinentální a světové mistrovství týmů; nebo po 8 partiích Světového poháru </w:t>
      </w:r>
      <w:r w:rsidR="00AC2DF1">
        <w:rPr>
          <w:b/>
          <w:bCs/>
          <w:color w:val="auto"/>
          <w:sz w:val="20"/>
          <w:szCs w:val="20"/>
        </w:rPr>
        <w:t>nebo</w:t>
      </w:r>
      <w:r>
        <w:rPr>
          <w:b/>
          <w:bCs/>
          <w:color w:val="auto"/>
          <w:sz w:val="20"/>
          <w:szCs w:val="20"/>
        </w:rPr>
        <w:t xml:space="preserve"> Mistrovství světa žen. Poslední dvě jmenované soutěže se počítají jako normy z 9 partií</w:t>
      </w:r>
      <w:r w:rsidR="00AC2DF1">
        <w:rPr>
          <w:b/>
          <w:bCs/>
          <w:color w:val="auto"/>
          <w:sz w:val="20"/>
          <w:szCs w:val="20"/>
        </w:rPr>
        <w:t>, když se bere</w:t>
      </w:r>
      <w:r>
        <w:rPr>
          <w:b/>
          <w:bCs/>
          <w:color w:val="auto"/>
          <w:sz w:val="20"/>
          <w:szCs w:val="20"/>
        </w:rPr>
        <w:t xml:space="preserve"> v úvahu </w:t>
      </w:r>
      <w:r w:rsidR="00AC2DF1">
        <w:rPr>
          <w:b/>
          <w:bCs/>
          <w:color w:val="auto"/>
          <w:sz w:val="20"/>
          <w:szCs w:val="20"/>
        </w:rPr>
        <w:t>podmínka</w:t>
      </w:r>
      <w:r>
        <w:rPr>
          <w:b/>
          <w:bCs/>
          <w:color w:val="auto"/>
          <w:sz w:val="20"/>
          <w:szCs w:val="20"/>
        </w:rPr>
        <w:t xml:space="preserve"> 27 partií.  </w:t>
      </w:r>
    </w:p>
    <w:p w:rsidR="00BC425C" w:rsidRDefault="00BC425C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</w:t>
      </w:r>
    </w:p>
    <w:tbl>
      <w:tblPr>
        <w:tblW w:w="91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1276"/>
        <w:gridCol w:w="1340"/>
        <w:gridCol w:w="1211"/>
        <w:gridCol w:w="1252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 kol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3 GM</w:t>
              </w:r>
            </w:smartTag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IM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WGM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jedné federace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federace žadatele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z jiných federací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2380-2406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2230-2256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2180-2206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2030-2056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2407-2458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2257-2308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2207-2258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2057-2108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5½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2459-2504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2309-2354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2259-2304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2109-2154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2505-2556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2355-2406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2305-2356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2155-2206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4½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2557-2599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2407-2449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2357-2399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2600-2642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2450-2492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2400-2442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2250-2292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2643-2686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2493-2536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2443-2486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2293-2336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≥2687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≥2537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≥2487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≥2337</w:t>
            </w:r>
          </w:p>
        </w:tc>
      </w:tr>
    </w:tbl>
    <w:p w:rsidR="00BC425C" w:rsidRDefault="00BC425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BC425C" w:rsidRDefault="00BC425C" w:rsidP="00AC2DF1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*</w:t>
      </w:r>
      <w:r w:rsidR="00AC2DF1">
        <w:rPr>
          <w:b/>
          <w:bCs/>
          <w:color w:val="auto"/>
          <w:sz w:val="20"/>
          <w:szCs w:val="20"/>
        </w:rPr>
        <w:t xml:space="preserve"> </w:t>
      </w:r>
      <w:r w:rsidRPr="00AC2DF1">
        <w:rPr>
          <w:bCs/>
          <w:color w:val="auto"/>
          <w:sz w:val="20"/>
          <w:szCs w:val="20"/>
        </w:rPr>
        <w:t>Předpisy týkající se počtu hráčů z jiných federací jsou označeny</w:t>
      </w: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„* “ v jednotlivých buňkách tabulek jsou ignorovány pro turnaje hrané švýcarským systémem, kterých se účastní minimálně 20 hráčů s ratingem FIDE mimo pořádající federaci, nejméně ze 3 federací s nejméně 10 nositeli titulů GM, IM, WGM nebo WIM</w:t>
      </w:r>
      <w:r w:rsidR="00AC2DF1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BC425C" w:rsidRDefault="00BC425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Viz 1.46c týkající se ratingové podlahy nejníže ratingovaného soupeře. </w:t>
      </w:r>
    </w:p>
    <w:p w:rsidR="00BC425C" w:rsidRDefault="00BC425C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AC2DF1" w:rsidRDefault="00AC2DF1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231"/>
        <w:gridCol w:w="1273"/>
        <w:gridCol w:w="1273"/>
        <w:gridCol w:w="1272"/>
        <w:gridCol w:w="1238"/>
      </w:tblGrid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9 kol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3 GM</w:t>
              </w:r>
            </w:smartTag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IM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WGM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WIM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* Minimální počet jiných federací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A842BE" w:rsidTr="00A842B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Maximální počet hráčů z jedné federace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 w:rsidP="00027E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 w:rsidP="00027E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 w:rsidP="00027E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  <w:tr w:rsidR="00A842BE" w:rsidTr="00A842B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federace žadatele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 w:rsidP="00027E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 w:rsidP="00027E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 w:rsidP="00027E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2BE" w:rsidRDefault="00A842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2380-2433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2230-2283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2180-2233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2030-2083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2434-2474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2284-2324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2234-2274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2084-2124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2475-2519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2325-2369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2275-2319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2125-2169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2520-2556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2370-2406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2320-2356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2170-2206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2557-2599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2407-2449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2357-2399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2207-2249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4½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2600-2642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2450-2492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2400-2442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2250-2292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2643-2679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2493-2529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2443-2479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2293-2329</w:t>
            </w:r>
          </w:p>
        </w:tc>
      </w:tr>
      <w:tr w:rsidR="00BC425C" w:rsidTr="00A842B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3½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≥2680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≥2530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≥2480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≥2330</w:t>
            </w:r>
          </w:p>
        </w:tc>
      </w:tr>
    </w:tbl>
    <w:p w:rsidR="00BC425C" w:rsidRDefault="00BC425C">
      <w:pPr>
        <w:ind w:right="24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F4954" w:rsidRDefault="004F4954">
      <w:pPr>
        <w:ind w:right="240"/>
        <w:jc w:val="both"/>
        <w:rPr>
          <w:b/>
          <w:bCs/>
        </w:rPr>
      </w:pPr>
    </w:p>
    <w:p w:rsidR="004F4954" w:rsidRDefault="004F4954">
      <w:pPr>
        <w:ind w:right="240"/>
        <w:jc w:val="both"/>
        <w:rPr>
          <w:b/>
          <w:bCs/>
        </w:rPr>
      </w:pPr>
    </w:p>
    <w:p w:rsidR="004F4954" w:rsidRDefault="004F4954">
      <w:pPr>
        <w:ind w:right="240"/>
        <w:jc w:val="both"/>
        <w:rPr>
          <w:b/>
          <w:bCs/>
        </w:rPr>
      </w:pPr>
    </w:p>
    <w:p w:rsidR="004F4954" w:rsidRDefault="004F4954">
      <w:pPr>
        <w:ind w:right="240"/>
        <w:jc w:val="both"/>
        <w:rPr>
          <w:sz w:val="22"/>
          <w:szCs w:val="22"/>
        </w:rPr>
      </w:pPr>
    </w:p>
    <w:p w:rsidR="00BC425C" w:rsidRPr="00A842BE" w:rsidRDefault="00BC425C">
      <w:pPr>
        <w:pStyle w:val="Default"/>
        <w:ind w:right="240"/>
        <w:jc w:val="both"/>
        <w:rPr>
          <w:b/>
          <w:color w:val="auto"/>
          <w:sz w:val="20"/>
          <w:szCs w:val="20"/>
        </w:rPr>
      </w:pPr>
      <w:r w:rsidRPr="00A842BE">
        <w:rPr>
          <w:b/>
          <w:color w:val="auto"/>
          <w:sz w:val="20"/>
          <w:szCs w:val="20"/>
        </w:rPr>
        <w:t xml:space="preserve">Pro turnaje o 10 kolech nebo větším počtu kol hráč může vymazat jakoukoliv partii, kterou vyhrál, pokud je to pro něj výhodné. </w:t>
      </w:r>
    </w:p>
    <w:p w:rsidR="00BC425C" w:rsidRDefault="00BC425C">
      <w:pPr>
        <w:pStyle w:val="Default"/>
        <w:ind w:right="240"/>
        <w:jc w:val="both"/>
        <w:rPr>
          <w:color w:val="auto"/>
          <w:sz w:val="20"/>
          <w:szCs w:val="20"/>
        </w:rPr>
      </w:pPr>
    </w:p>
    <w:p w:rsidR="00BC425C" w:rsidRDefault="00BC425C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SR </w:t>
      </w:r>
      <w:r>
        <w:rPr>
          <w:color w:val="auto"/>
          <w:sz w:val="20"/>
          <w:szCs w:val="20"/>
        </w:rPr>
        <w:t xml:space="preserve">(single round robin) znamená jednokolový a </w:t>
      </w:r>
      <w:r>
        <w:rPr>
          <w:b/>
          <w:bCs/>
          <w:color w:val="auto"/>
          <w:sz w:val="20"/>
          <w:szCs w:val="20"/>
        </w:rPr>
        <w:t xml:space="preserve">DR </w:t>
      </w:r>
      <w:r>
        <w:rPr>
          <w:color w:val="auto"/>
          <w:sz w:val="20"/>
          <w:szCs w:val="20"/>
        </w:rPr>
        <w:t>(double round robin) dvoukolový turnaj.</w:t>
      </w:r>
    </w:p>
    <w:tbl>
      <w:tblPr>
        <w:tblW w:w="93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709"/>
        <w:gridCol w:w="708"/>
        <w:gridCol w:w="709"/>
        <w:gridCol w:w="567"/>
        <w:gridCol w:w="709"/>
        <w:gridCol w:w="567"/>
        <w:gridCol w:w="709"/>
        <w:gridCol w:w="745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10 kol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4 GM</w:t>
              </w:r>
            </w:smartTag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IM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WGM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*Minimální počet jiných federací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175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34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34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2380-2406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2230-2256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2180-2206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2030-2056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2407-2450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2257-2300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2207-2250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2057-2100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2451-2489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2301-2339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2251-2289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2101-2139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2490-2527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2340-2377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2290-2327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2140-2177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2528-2563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2378-2413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2328-2363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2178-2213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2564-2599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2414-2449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2364-2399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2214-2249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2600-2635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2450-2485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2400-2435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2250-2285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4½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2636-2671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2486-2521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2436-2471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2286-2321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2672-2709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2522-2559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2472-2509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2322-2359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ind w:right="2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3½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≥2710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≥2560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≥2510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≥2360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</w:rPr>
      </w:pPr>
    </w:p>
    <w:p w:rsidR="00BC425C" w:rsidRDefault="00BC425C">
      <w:pPr>
        <w:ind w:left="-180" w:right="240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# Pokud jsou v turnaji o 6 hráčích 4 hráči z jedné federace, pak žádný z 2 pozůstalých hráčů nemůže získat normu na titul. Podmínka by byla vyhotovující, pokud oba by byli GM. </w:t>
      </w:r>
    </w:p>
    <w:p w:rsidR="00A842BE" w:rsidRDefault="00A842BE">
      <w:pPr>
        <w:ind w:left="-180" w:right="240"/>
        <w:jc w:val="both"/>
        <w:rPr>
          <w:sz w:val="20"/>
          <w:szCs w:val="20"/>
        </w:rPr>
      </w:pPr>
    </w:p>
    <w:p w:rsidR="00BC425C" w:rsidRDefault="00BC425C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969"/>
        <w:gridCol w:w="1276"/>
        <w:gridCol w:w="1276"/>
        <w:gridCol w:w="1275"/>
        <w:gridCol w:w="1241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11 kol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4 GM</w:t>
              </w:r>
            </w:smartTag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IM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WGM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* Minimální počet jiných federací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2380-2388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2180-2188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2030-2038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2389-2424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2239-2274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2189-2224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2039-2074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2425-2466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2275-2316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2225-2266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2075-2116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2467-2497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2317-2347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2267-2297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2117-2147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2498-2534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2348-2384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2298-2334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2148-2184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2535-2563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2385-2413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2335-2363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2185-2213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2564-2599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2414-2449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2364-2399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2214-2249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2400-2435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2250-2285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2636-2664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2486-2514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2436-2464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2286-2314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2665-2701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2515-2551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2465-2501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2315-2351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≥2702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≥2552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≥2502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≥2352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</w:rPr>
      </w:pPr>
    </w:p>
    <w:p w:rsidR="00BC425C" w:rsidRDefault="00BC425C">
      <w:pPr>
        <w:pStyle w:val="Default"/>
        <w:ind w:left="-180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SR </w:t>
      </w:r>
      <w:r>
        <w:rPr>
          <w:color w:val="auto"/>
          <w:sz w:val="20"/>
          <w:szCs w:val="20"/>
        </w:rPr>
        <w:t xml:space="preserve">(single round robin) znamená jednokolový a </w:t>
      </w:r>
      <w:r>
        <w:rPr>
          <w:b/>
          <w:bCs/>
          <w:color w:val="auto"/>
          <w:sz w:val="20"/>
          <w:szCs w:val="20"/>
        </w:rPr>
        <w:t xml:space="preserve">DR </w:t>
      </w:r>
      <w:r>
        <w:rPr>
          <w:color w:val="auto"/>
          <w:sz w:val="20"/>
          <w:szCs w:val="20"/>
        </w:rPr>
        <w:t>(double round robin) dvoukolový turnaj.</w:t>
      </w:r>
    </w:p>
    <w:p w:rsidR="00BC425C" w:rsidRDefault="00BC425C">
      <w:pPr>
        <w:pStyle w:val="Default"/>
        <w:ind w:left="-180"/>
        <w:jc w:val="both"/>
        <w:rPr>
          <w:color w:val="auto"/>
          <w:sz w:val="22"/>
          <w:szCs w:val="22"/>
        </w:rPr>
      </w:pPr>
    </w:p>
    <w:tbl>
      <w:tblPr>
        <w:tblW w:w="92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631"/>
        <w:gridCol w:w="645"/>
        <w:gridCol w:w="567"/>
        <w:gridCol w:w="567"/>
        <w:gridCol w:w="708"/>
        <w:gridCol w:w="567"/>
        <w:gridCol w:w="709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 kol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4 GM</w:t>
              </w:r>
            </w:smartTag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IM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WGM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WGM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Minimální počet jiných federací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3#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2380-2406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2180-2206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2030-2056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2407-2441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2257-2291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2207-2241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2057-2091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2442-2474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2292-2324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2242-2274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2092-2124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2475-2504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2325-2354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2275-2304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2125-2154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2505-2542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2355-2392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2305-2342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2155-2192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2543-2570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2393-2420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2343-2370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2193-2220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2571-2599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2371-2399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2221-2249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2600-2628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2629-2656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2479-2506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2429-2456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2279-2306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2657-2686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2507-2536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2457-2486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2307-2336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4½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≥2687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≥2537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≥2487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≥2337</w:t>
            </w:r>
          </w:p>
        </w:tc>
      </w:tr>
    </w:tbl>
    <w:p w:rsidR="00BC425C" w:rsidRDefault="00BC425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BC425C" w:rsidRDefault="00BC425C">
      <w:pPr>
        <w:ind w:left="-180" w:righ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# Pokud jsou v turnaji o 7 hráčích 4 hráči z jedné federace, pak žádný z 3 pozůstalých hráčů nemůže získat normu na titul. Podmínka by byla vyhotovující, pokud všichni tři by byli GM. </w:t>
      </w:r>
    </w:p>
    <w:p w:rsidR="00BC425C" w:rsidRDefault="00BC425C">
      <w:pPr>
        <w:ind w:left="-180" w:right="240"/>
        <w:jc w:val="both"/>
        <w:rPr>
          <w:rFonts w:ascii="Times New Roman" w:hAnsi="Times New Roman" w:cs="Times New Roman"/>
          <w:sz w:val="20"/>
          <w:szCs w:val="20"/>
        </w:rPr>
      </w:pPr>
    </w:p>
    <w:p w:rsidR="00BC425C" w:rsidRDefault="00BC425C">
      <w:pPr>
        <w:ind w:left="-180" w:right="2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011"/>
        <w:gridCol w:w="220"/>
        <w:gridCol w:w="629"/>
        <w:gridCol w:w="644"/>
        <w:gridCol w:w="66"/>
        <w:gridCol w:w="566"/>
        <w:gridCol w:w="641"/>
        <w:gridCol w:w="60"/>
        <w:gridCol w:w="575"/>
        <w:gridCol w:w="637"/>
        <w:gridCol w:w="47"/>
        <w:gridCol w:w="617"/>
        <w:gridCol w:w="574"/>
        <w:gridCol w:w="149"/>
      </w:tblGrid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78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13 kol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78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5 GM</w:t>
              </w:r>
            </w:smartTag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IM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WGM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WIM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Minimální počet jiných federací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78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2380-2388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2230-2238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2180-2188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2030-2038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2389-2424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2239-2274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2189-2224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2039-2074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2425-2458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2275-2308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2225-2258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2075-2108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2459-2489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2309-2339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2259-2289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2109-2139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2490-2512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2340-2362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2290-2312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2140-2162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2513-2542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2363-2392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2313-2342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2163-2192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2543-2570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2393-2420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2343-2370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2193-2220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2571-2599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2421-2449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2371-2399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2221-2249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2600-2628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2450-2478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2400-2428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2250-2278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2629-2656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2479-2506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2429-2456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2279-2306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2657-2686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2507-2536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2457-2486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2307-2336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gridAfter w:val="1"/>
          <w:wAfter w:w="149" w:type="dxa"/>
          <w:trHeight w:val="267"/>
          <w:jc w:val="center"/>
        </w:trPr>
        <w:tc>
          <w:tcPr>
            <w:tcW w:w="4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≥2687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≥2537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≥2487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≥2337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14 kol </w:t>
            </w:r>
          </w:p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počítá se jako 13 kol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5 GM</w:t>
              </w:r>
            </w:smartTag>
          </w:p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3GM v příp.DR 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IM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WGM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WIM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Minimální počet jiných federací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bez ratingu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4#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4#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4#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4#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2380-2406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2230-2256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2180-2206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2030-2056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2407-2441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2257-2291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2207-2241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2057-2091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2442-2466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2292-2316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2242-2266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2092-2116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2467-2497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2317-2347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2267-2297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2117-2147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2498-2519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2348-2369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2298-2319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2148-2169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2520-2549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2370-2399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2320-2349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2170-2199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2550-2570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2350-2370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2200-2220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2571-2599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2421-2449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2371-2399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2221-2249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2600-2628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2450-2478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2400-2428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2250-2278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2629-2649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2479-2499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2429-2449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2279-2299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2650-2679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2500-2529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2450-2479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2300-2329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2680-2701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2530-2551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2480-2501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2330-2351</w:t>
            </w:r>
          </w:p>
        </w:tc>
      </w:tr>
      <w:tr w:rsidR="00BC425C" w:rsidTr="00CE70C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≥2702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≥2552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≥2502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≥2352</w:t>
            </w:r>
          </w:p>
        </w:tc>
      </w:tr>
    </w:tbl>
    <w:p w:rsidR="00BC425C" w:rsidRDefault="00BC425C">
      <w:pPr>
        <w:ind w:left="-180" w:right="240"/>
        <w:jc w:val="both"/>
        <w:rPr>
          <w:sz w:val="20"/>
          <w:szCs w:val="20"/>
        </w:rPr>
      </w:pPr>
    </w:p>
    <w:p w:rsidR="00BC425C" w:rsidRDefault="00BC425C">
      <w:pPr>
        <w:ind w:left="-180" w:righ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# Pokud jsou v turnaji o 8 hráčích 5 hráčů z jedné federace, pak žádný z 3 pozůstalých hráčů nemůže získat normu na titul. Podmínka by byla vyhotovující, pokud všichni tři by byli GM. </w:t>
      </w:r>
    </w:p>
    <w:p w:rsidR="00CE70C1" w:rsidRDefault="00CE70C1">
      <w:pPr>
        <w:ind w:left="-180" w:right="24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950"/>
        <w:gridCol w:w="1272"/>
        <w:gridCol w:w="1273"/>
        <w:gridCol w:w="1273"/>
        <w:gridCol w:w="1519"/>
      </w:tblGrid>
      <w:tr w:rsidR="00BC425C" w:rsidTr="00CD1D0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 kol</w:t>
            </w:r>
          </w:p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počítá se jako 13 kol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5 GM</w:t>
              </w:r>
            </w:smartTag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IM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WGM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WIM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* Minimální počet jiných federací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jedné federace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 federace žadatele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2380-2388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2230-2238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2180-2188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2030-2038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2389-2424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2239-2274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2189-2224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2039-2074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2425-2450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2275-2300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2225-2250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2075-2100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2451-2474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2301-2324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2251-2274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2101-2124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2475-2504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2325-2354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2275-2304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2125-2154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2505-2527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2355-2377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2305-2327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2155-2177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2528-2549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2378-2399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2328-2349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2178-2199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2550-2578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2350-2378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2200-2228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2579-2599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2429-2449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2379-2399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2229-2249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2400-2420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2250-2270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2621-2649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2471-2499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2271-2299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6½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2650-2671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2500-2521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2450-2471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2300-2321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2672-2694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2522-2544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2472-2494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2322-2344</w:t>
            </w:r>
          </w:p>
        </w:tc>
      </w:tr>
      <w:tr w:rsidR="00BC425C" w:rsidTr="00CD1D0E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5½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≥2695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≥2545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≥2495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≥2345</w:t>
            </w:r>
          </w:p>
        </w:tc>
      </w:tr>
    </w:tbl>
    <w:p w:rsidR="00CE70C1" w:rsidRPr="00CE70C1" w:rsidRDefault="00BC425C" w:rsidP="00CE70C1">
      <w:pPr>
        <w:pStyle w:val="StyleLinespacing15linesChar"/>
      </w:pPr>
      <w:r>
        <w:t xml:space="preserve"> </w:t>
      </w: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147"/>
        <w:gridCol w:w="815"/>
        <w:gridCol w:w="850"/>
        <w:gridCol w:w="695"/>
        <w:gridCol w:w="527"/>
        <w:gridCol w:w="475"/>
        <w:gridCol w:w="713"/>
        <w:gridCol w:w="472"/>
        <w:gridCol w:w="804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16 kol </w:t>
            </w:r>
          </w:p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počítá se jako 13 kol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6 GM</w:t>
              </w:r>
            </w:smartTag>
          </w:p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3GM v příp.DR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IM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WGM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jiných federací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bez ratingu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12½ 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2380-2406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2230-2256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2180-2206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2030-2056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2407-2433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2257-2283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2207-2233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2057-2083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11½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2434-2458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2284-2308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2234-2258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2084-2108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2459-2482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2309-2332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2259-2282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2109-2132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2483-2504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2333-2354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2283-2304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2133-2154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2505-2534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2355-2384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2305-2334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2155-2184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2535-2556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2385-2406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2335-2356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2185-2206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2557-2578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2407-2428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2357-2378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2207-2228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2579-2599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2429-2449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2379-2399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2229-2249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2600-2620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2450-2470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2621-2642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2471-2492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2271-2292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2643-2664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2493-2514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2443-2464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2293-2314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2665-2686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2515-2536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2465-2486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2315-2336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≥2687</w:t>
            </w:r>
          </w:p>
        </w:tc>
        <w:tc>
          <w:tcPr>
            <w:tcW w:w="1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≥2537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≥2487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≥2337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1275"/>
        <w:gridCol w:w="1241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17 </w:t>
            </w:r>
            <w:r>
              <w:rPr>
                <w:b/>
                <w:bCs/>
                <w:color w:val="auto"/>
                <w:sz w:val="20"/>
                <w:szCs w:val="20"/>
                <w:lang w:val="pl-PL"/>
              </w:rPr>
              <w:t>kol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počítá se jako 13 kol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6 GM</w:t>
              </w:r>
            </w:smartTag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IM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WGM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Minimální počet jiných federací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jedné federace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 federace žadatele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2380-2397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2180-2197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2030-2047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2398-2415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2248-2265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2198-2215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2048-2065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2416-2441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2266-2291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2216-2241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2066-2091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2442-2466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2292-2316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2242-2266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2092-2116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2467-2489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2317-2339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2267-2289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2117-2139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2490-2512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2340-2362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2290-2312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2140-2162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2513-2534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2363-2384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2313-2334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2163-2184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2535-2556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2385 2406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2335-2356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2185-2206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2557-2578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2357-2378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2207-2228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2579-2599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2429-2449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2379-2399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2229-2249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2621-2642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2471-2492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2271-2292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2643-2664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2493-2514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2443-2464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2293-2314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2665-2686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2515-2536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2465-2486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2315-2336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≥2687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≥2487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≥2337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94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3"/>
        <w:gridCol w:w="705"/>
        <w:gridCol w:w="851"/>
        <w:gridCol w:w="570"/>
        <w:gridCol w:w="705"/>
        <w:gridCol w:w="668"/>
        <w:gridCol w:w="673"/>
        <w:gridCol w:w="644"/>
        <w:gridCol w:w="626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18 kol </w:t>
            </w:r>
          </w:p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počítá se jako 13 kol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GM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WGM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6 GM</w:t>
              </w:r>
            </w:smartTag>
          </w:p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3GM v příp.DR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IM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WGM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 WIM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jiných federací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2050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SR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DR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bez ratingu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jedné federace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Maximální počet hráčů z  federace žadatele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2380-2406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2230-2256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2180-2206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2030-2056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2407-2433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2257-2283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2207-2233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2057-2083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2434-2458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2284-2308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2234-2258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2084-2108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2459-2474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2309-2324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2259-2274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2109-2124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2475-2497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2325-2347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2275-2297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2125-2147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2498-2519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2348-2369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2298-2319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2148-2169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2520-2542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2370-2392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2320-2342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2170-2192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2543-2556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2393-2406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2343-2356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2193-2206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2557-2578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2407-2428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2357-2378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2207-2228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2579-2599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2429-2449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2379-2399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2229-2249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2600-2620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2450-2470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2400-2420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2250-2270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2621-2642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2471-2492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2421-2442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2271-2292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2643-2656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2493-2506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2443-2456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2293-2306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2657-2679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2507-2529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2457-2479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2307-2329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2680-2701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2530-2551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2480-2501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2330-2351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6½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≥2702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≥2552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≥2502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≥2352</w:t>
            </w:r>
          </w:p>
        </w:tc>
      </w:tr>
    </w:tbl>
    <w:p w:rsidR="00BC425C" w:rsidRDefault="00BC425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1276"/>
        <w:gridCol w:w="1340"/>
        <w:gridCol w:w="1173"/>
        <w:gridCol w:w="1173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 kol</w:t>
            </w:r>
          </w:p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počítá se jako 13 kol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GM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WGM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WIM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MO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00 a"/>
              </w:smartTagPr>
              <w:r>
                <w:rPr>
                  <w:color w:val="auto"/>
                  <w:sz w:val="20"/>
                  <w:szCs w:val="20"/>
                </w:rPr>
                <w:t>7 GM</w:t>
              </w:r>
            </w:smartTag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IM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WGM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WIM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Minimální počet jiných federací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Ratingova podlaha pro 1 hráče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2200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2050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1850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Minimální počet hráčů s titulem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bez ratingu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jedné federace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počet hráčů z  federace žadatele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2380-2397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2230-2247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2180-2197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2030-2047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14½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2398-2415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2248-2265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2198-2215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2048-2065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2416-2441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2266-2291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2216-2241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2066-2091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2442-2466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2292-2316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2242-2266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2092-2116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13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2467-2482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2317-2332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2267-2282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2117-2132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2483-2504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2333-2354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2283-2304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2133-2154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2505-2519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2355-2369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2305-2319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2155-2169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2520-2542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2370-2392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2320-2342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2170-2192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11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2543-2563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2393-2413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2343-2363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2193-2213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2564-2578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2414-2428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2364-2378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2214-2228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2579-2599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2429-2449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2379-2399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2229-2249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2600-2620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2450-2470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2400-2420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2250-2270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2621-2635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2471-2485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2421-2435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2271-2285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2636-2656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2486-2506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2436-2456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2286-2306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2657-2679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2507-2529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2457-2479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2307-2329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2680-2694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2530-2544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2480-2494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2330-2344 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≥2695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≥2545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≥2495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5C" w:rsidRDefault="00BC42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≥2345 </w:t>
            </w:r>
          </w:p>
        </w:tc>
      </w:tr>
    </w:tbl>
    <w:p w:rsidR="00BC425C" w:rsidRDefault="00BC425C">
      <w:pPr>
        <w:ind w:left="980" w:hanging="700"/>
        <w:jc w:val="both"/>
      </w:pPr>
      <w:r>
        <w:t xml:space="preserve"> </w:t>
      </w:r>
    </w:p>
    <w:p w:rsidR="00BC425C" w:rsidRPr="00D762D3" w:rsidRDefault="00BC425C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  <w:r w:rsidRPr="00D762D3">
        <w:rPr>
          <w:b/>
          <w:color w:val="auto"/>
          <w:sz w:val="22"/>
          <w:szCs w:val="22"/>
        </w:rPr>
        <w:t xml:space="preserve">1.8 </w:t>
      </w:r>
      <w:r w:rsidRPr="00D762D3">
        <w:rPr>
          <w:b/>
          <w:color w:val="auto"/>
          <w:sz w:val="22"/>
          <w:szCs w:val="22"/>
        </w:rPr>
        <w:tab/>
        <w:t xml:space="preserve">Osvědčení o zisku titulu </w:t>
      </w:r>
    </w:p>
    <w:p w:rsidR="00BC425C" w:rsidRDefault="00BC425C">
      <w:pPr>
        <w:pStyle w:val="Default"/>
        <w:ind w:left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Hlavní rozhodčí musí připravit ve čtyřech exemplářích osvědčení o dosažených výsledcích pro získání titulu. Tyto kopie musí dostat: hráč, hráčova federace, pořádající federace a sekretariát FIDE. Hráčům se doporučuje vyžádat si toto osvědčení od hlavního rozhodčího před odjezdem z turnaje.</w:t>
      </w:r>
      <w:r w:rsidR="004C02D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Hlavní rozhodčí je zodpovědný za předložení TRF souboru na FIDE. </w:t>
      </w:r>
    </w:p>
    <w:p w:rsidR="00BC425C" w:rsidRDefault="00BC425C">
      <w:pPr>
        <w:pStyle w:val="Default"/>
        <w:ind w:left="84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</w:p>
    <w:p w:rsidR="00BC425C" w:rsidRPr="00D762D3" w:rsidRDefault="00BC425C">
      <w:pPr>
        <w:pStyle w:val="Default"/>
        <w:ind w:left="560" w:hanging="560"/>
        <w:jc w:val="both"/>
        <w:rPr>
          <w:b/>
          <w:color w:val="auto"/>
          <w:sz w:val="22"/>
          <w:szCs w:val="22"/>
        </w:rPr>
      </w:pPr>
      <w:r w:rsidRPr="00D762D3">
        <w:rPr>
          <w:b/>
          <w:color w:val="auto"/>
          <w:sz w:val="22"/>
          <w:szCs w:val="22"/>
        </w:rPr>
        <w:t xml:space="preserve">1.9 </w:t>
      </w:r>
      <w:r w:rsidRPr="00D762D3">
        <w:rPr>
          <w:b/>
          <w:color w:val="auto"/>
          <w:sz w:val="22"/>
          <w:szCs w:val="22"/>
        </w:rPr>
        <w:tab/>
        <w:t>Předložení zprávy o titulárním turnaji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Turnaj musí být registrován podle 1.11. </w:t>
      </w:r>
    </w:p>
    <w:p w:rsidR="00FB12F2" w:rsidRDefault="00FB12F2" w:rsidP="00FB12F2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1.9</w:t>
      </w:r>
      <w:r w:rsidR="00E237D1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Za konec turnaje se považuje datum posledního kola a nejzazší termín pro přijetí turnaje k zápočtu se počítá od tohoto data. </w:t>
      </w:r>
    </w:p>
    <w:p w:rsidR="00BC425C" w:rsidRDefault="00BC425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1.9</w:t>
      </w:r>
      <w:r w:rsidR="00E237D1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 w:rsidR="008D7861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Hlavní rozhodčí turnaje registrovaného na FIDE </w:t>
      </w:r>
      <w:r w:rsidR="00E237D1">
        <w:rPr>
          <w:color w:val="auto"/>
          <w:sz w:val="22"/>
          <w:szCs w:val="22"/>
        </w:rPr>
        <w:t xml:space="preserve">musí předložit zprávu o turnaji </w:t>
      </w:r>
      <w:r>
        <w:rPr>
          <w:color w:val="auto"/>
          <w:sz w:val="22"/>
          <w:szCs w:val="22"/>
        </w:rPr>
        <w:t xml:space="preserve">(TRF soubor) </w:t>
      </w:r>
      <w:r w:rsidR="00E237D1" w:rsidRPr="00E237D1">
        <w:rPr>
          <w:color w:val="auto"/>
          <w:sz w:val="22"/>
          <w:szCs w:val="22"/>
        </w:rPr>
        <w:t xml:space="preserve">do 7 dnů po skončení turnaje </w:t>
      </w:r>
      <w:r w:rsidR="00E237D1">
        <w:rPr>
          <w:color w:val="auto"/>
          <w:sz w:val="22"/>
          <w:szCs w:val="22"/>
        </w:rPr>
        <w:t xml:space="preserve">Rating </w:t>
      </w:r>
      <w:r w:rsidR="000E4F1F">
        <w:rPr>
          <w:color w:val="auto"/>
          <w:sz w:val="22"/>
          <w:szCs w:val="22"/>
        </w:rPr>
        <w:t>administrátorovi</w:t>
      </w:r>
      <w:r w:rsidR="00E237D1">
        <w:rPr>
          <w:color w:val="auto"/>
          <w:sz w:val="22"/>
          <w:szCs w:val="22"/>
        </w:rPr>
        <w:t xml:space="preserve"> </w:t>
      </w:r>
      <w:r w:rsidR="00B43D32">
        <w:rPr>
          <w:color w:val="auto"/>
          <w:sz w:val="22"/>
          <w:szCs w:val="22"/>
        </w:rPr>
        <w:t xml:space="preserve">federace té země, kde se turnaj konal. </w:t>
      </w:r>
      <w:r w:rsidR="00E237D1">
        <w:rPr>
          <w:color w:val="auto"/>
          <w:sz w:val="22"/>
          <w:szCs w:val="22"/>
        </w:rPr>
        <w:t xml:space="preserve">Rating </w:t>
      </w:r>
      <w:r w:rsidR="000E4F1F">
        <w:rPr>
          <w:color w:val="auto"/>
          <w:sz w:val="22"/>
          <w:szCs w:val="22"/>
        </w:rPr>
        <w:t>administrátor</w:t>
      </w:r>
      <w:r w:rsidR="00E237D1">
        <w:rPr>
          <w:color w:val="auto"/>
          <w:sz w:val="22"/>
          <w:szCs w:val="22"/>
        </w:rPr>
        <w:t xml:space="preserve"> </w:t>
      </w:r>
      <w:r w:rsidR="00E237D1" w:rsidRPr="00E237D1">
        <w:rPr>
          <w:color w:val="auto"/>
          <w:sz w:val="22"/>
          <w:szCs w:val="22"/>
        </w:rPr>
        <w:t xml:space="preserve">je </w:t>
      </w:r>
      <w:r w:rsidR="00E237D1">
        <w:rPr>
          <w:color w:val="auto"/>
          <w:sz w:val="22"/>
          <w:szCs w:val="22"/>
        </w:rPr>
        <w:t>z</w:t>
      </w:r>
      <w:r w:rsidR="00E237D1" w:rsidRPr="00E237D1">
        <w:rPr>
          <w:color w:val="auto"/>
          <w:sz w:val="22"/>
          <w:szCs w:val="22"/>
        </w:rPr>
        <w:t xml:space="preserve">odpovědný za nahrání souboru TRF </w:t>
      </w:r>
      <w:r>
        <w:rPr>
          <w:color w:val="auto"/>
          <w:sz w:val="22"/>
          <w:szCs w:val="22"/>
        </w:rPr>
        <w:t xml:space="preserve">na FIDE rating server nejpozději do 30 dnů po skončení turnaje. </w:t>
      </w:r>
    </w:p>
    <w:p w:rsidR="00B43D32" w:rsidRDefault="00B43D32" w:rsidP="00B43D32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1.93 </w:t>
      </w:r>
      <w:r>
        <w:rPr>
          <w:color w:val="auto"/>
          <w:sz w:val="22"/>
          <w:szCs w:val="22"/>
        </w:rPr>
        <w:tab/>
        <w:t xml:space="preserve">Zprávy zaslané s více než se 90 denním zpožděním nebudou přijaty pro zápočet ratingu nebo titulární účely. </w:t>
      </w:r>
    </w:p>
    <w:p w:rsidR="00A85FBC" w:rsidRDefault="00A85FBC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A85FBC" w:rsidRPr="00A85FBC" w:rsidRDefault="00A85FBC">
      <w:pPr>
        <w:pStyle w:val="Default"/>
        <w:ind w:left="1120" w:hanging="560"/>
        <w:jc w:val="both"/>
        <w:rPr>
          <w:color w:val="auto"/>
          <w:sz w:val="22"/>
          <w:szCs w:val="22"/>
        </w:rPr>
      </w:pPr>
      <w:r w:rsidRPr="00A85FBC">
        <w:rPr>
          <w:color w:val="auto"/>
          <w:sz w:val="22"/>
          <w:szCs w:val="22"/>
        </w:rPr>
        <w:t xml:space="preserve">Tabulka penále za pozdní </w:t>
      </w:r>
      <w:r w:rsidR="00E237D1">
        <w:rPr>
          <w:color w:val="auto"/>
          <w:sz w:val="22"/>
          <w:szCs w:val="22"/>
        </w:rPr>
        <w:t>zaslání</w:t>
      </w:r>
      <w:r w:rsidRPr="00A85FBC">
        <w:rPr>
          <w:color w:val="auto"/>
          <w:sz w:val="22"/>
          <w:szCs w:val="22"/>
        </w:rPr>
        <w:t xml:space="preserve"> zpráv</w:t>
      </w:r>
      <w:r w:rsidR="00E237D1">
        <w:rPr>
          <w:color w:val="auto"/>
          <w:sz w:val="22"/>
          <w:szCs w:val="22"/>
        </w:rPr>
        <w:t>y</w:t>
      </w:r>
      <w:r w:rsidRPr="00A85FBC">
        <w:rPr>
          <w:color w:val="auto"/>
          <w:sz w:val="22"/>
          <w:szCs w:val="22"/>
        </w:rPr>
        <w:t xml:space="preserve"> </w:t>
      </w:r>
      <w:r w:rsidR="00E237D1">
        <w:rPr>
          <w:color w:val="auto"/>
          <w:sz w:val="22"/>
          <w:szCs w:val="22"/>
        </w:rPr>
        <w:t xml:space="preserve">o </w:t>
      </w:r>
      <w:r w:rsidRPr="00A85FBC">
        <w:rPr>
          <w:color w:val="auto"/>
          <w:sz w:val="22"/>
          <w:szCs w:val="22"/>
        </w:rPr>
        <w:t>turnaj</w:t>
      </w:r>
      <w:r w:rsidR="00E237D1">
        <w:rPr>
          <w:color w:val="auto"/>
          <w:sz w:val="22"/>
          <w:szCs w:val="22"/>
        </w:rPr>
        <w:t>i</w:t>
      </w:r>
    </w:p>
    <w:p w:rsidR="00025868" w:rsidRPr="00CE70C1" w:rsidRDefault="00025868">
      <w:pPr>
        <w:pStyle w:val="Default"/>
        <w:ind w:left="1120" w:hanging="560"/>
        <w:jc w:val="both"/>
        <w:rPr>
          <w:color w:val="auto"/>
          <w:sz w:val="10"/>
          <w:szCs w:val="10"/>
        </w:rPr>
      </w:pPr>
    </w:p>
    <w:tbl>
      <w:tblPr>
        <w:tblStyle w:val="Mkatabulky"/>
        <w:tblW w:w="91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1547"/>
        <w:gridCol w:w="1806"/>
        <w:gridCol w:w="1843"/>
      </w:tblGrid>
      <w:tr w:rsidR="00025868" w:rsidTr="00A42A4C">
        <w:tc>
          <w:tcPr>
            <w:tcW w:w="2977" w:type="dxa"/>
          </w:tcPr>
          <w:p w:rsidR="00025868" w:rsidRDefault="00025868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Typ / Formát turnaje</w:t>
            </w:r>
          </w:p>
        </w:tc>
        <w:tc>
          <w:tcPr>
            <w:tcW w:w="992" w:type="dxa"/>
          </w:tcPr>
          <w:p w:rsidR="00025868" w:rsidRDefault="00025868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Během 30 dn</w:t>
            </w:r>
            <w:r w:rsidR="005F06A4">
              <w:rPr>
                <w:color w:val="auto"/>
                <w:sz w:val="22"/>
                <w:szCs w:val="22"/>
              </w:rPr>
              <w:t>ů</w:t>
            </w:r>
          </w:p>
        </w:tc>
        <w:tc>
          <w:tcPr>
            <w:tcW w:w="1547" w:type="dxa"/>
          </w:tcPr>
          <w:p w:rsidR="00A42A4C" w:rsidRDefault="00025868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Během </w:t>
            </w:r>
          </w:p>
          <w:p w:rsidR="00025868" w:rsidRDefault="00025868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 dnů</w:t>
            </w:r>
          </w:p>
        </w:tc>
        <w:tc>
          <w:tcPr>
            <w:tcW w:w="1806" w:type="dxa"/>
          </w:tcPr>
          <w:p w:rsidR="00A42A4C" w:rsidRDefault="00025868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Během </w:t>
            </w:r>
          </w:p>
          <w:p w:rsidR="00025868" w:rsidRDefault="00025868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 dnů</w:t>
            </w:r>
          </w:p>
        </w:tc>
        <w:tc>
          <w:tcPr>
            <w:tcW w:w="1843" w:type="dxa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Nezasláno během 90 dnů</w:t>
            </w:r>
          </w:p>
        </w:tc>
      </w:tr>
      <w:tr w:rsidR="00025868" w:rsidTr="00A42A4C">
        <w:tc>
          <w:tcPr>
            <w:tcW w:w="2977" w:type="dxa"/>
          </w:tcPr>
          <w:p w:rsidR="00025868" w:rsidRDefault="005F06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Švýcarský systém</w:t>
            </w:r>
            <w:r w:rsidR="000623F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- jednotlivci nebo družstva</w:t>
            </w:r>
          </w:p>
          <w:p w:rsidR="005F06A4" w:rsidRPr="005F06A4" w:rsidRDefault="005F06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Další formáty</w:t>
            </w:r>
            <w:r w:rsidR="000623F8">
              <w:rPr>
                <w:color w:val="auto"/>
                <w:sz w:val="22"/>
                <w:szCs w:val="22"/>
              </w:rPr>
              <w:t xml:space="preserve"> s</w:t>
            </w:r>
            <w:r w:rsidR="00A42A4C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průměrný</w:t>
            </w:r>
            <w:r w:rsidR="000623F8">
              <w:rPr>
                <w:color w:val="auto"/>
                <w:sz w:val="22"/>
                <w:szCs w:val="22"/>
              </w:rPr>
              <w:t>m</w:t>
            </w:r>
            <w:r w:rsidR="00A42A4C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rating</w:t>
            </w:r>
            <w:r w:rsidR="000623F8">
              <w:rPr>
                <w:color w:val="auto"/>
                <w:sz w:val="22"/>
                <w:szCs w:val="22"/>
              </w:rPr>
              <w:t>em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F06A4">
              <w:rPr>
                <w:color w:val="auto"/>
                <w:sz w:val="22"/>
                <w:szCs w:val="22"/>
              </w:rPr>
              <w:t>&lt;2300</w:t>
            </w:r>
          </w:p>
        </w:tc>
        <w:tc>
          <w:tcPr>
            <w:tcW w:w="992" w:type="dxa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euro za hráče</w:t>
            </w:r>
          </w:p>
        </w:tc>
        <w:tc>
          <w:tcPr>
            <w:tcW w:w="1547" w:type="dxa"/>
            <w:vMerge w:val="restart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5F06A4">
              <w:rPr>
                <w:color w:val="auto"/>
                <w:sz w:val="22"/>
                <w:szCs w:val="22"/>
              </w:rPr>
              <w:t>00% příplatek</w:t>
            </w:r>
          </w:p>
        </w:tc>
        <w:tc>
          <w:tcPr>
            <w:tcW w:w="1806" w:type="dxa"/>
            <w:vMerge w:val="restart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5F06A4">
              <w:rPr>
                <w:color w:val="auto"/>
                <w:sz w:val="22"/>
                <w:szCs w:val="22"/>
              </w:rPr>
              <w:t>00% příplatek</w:t>
            </w:r>
          </w:p>
        </w:tc>
        <w:tc>
          <w:tcPr>
            <w:tcW w:w="1843" w:type="dxa"/>
            <w:vMerge w:val="restart"/>
            <w:vAlign w:val="center"/>
          </w:tcPr>
          <w:p w:rsidR="00025868" w:rsidRPr="005F06A4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F06A4">
              <w:rPr>
                <w:color w:val="auto"/>
                <w:sz w:val="22"/>
                <w:szCs w:val="22"/>
              </w:rPr>
              <w:t>300% příplatek a je předmětem vyšetřování a doporučení dalších sankcí ze strany QC</w:t>
            </w:r>
          </w:p>
        </w:tc>
      </w:tr>
      <w:tr w:rsidR="00025868" w:rsidTr="00A42A4C">
        <w:tc>
          <w:tcPr>
            <w:tcW w:w="2977" w:type="dxa"/>
          </w:tcPr>
          <w:p w:rsidR="00025868" w:rsidRDefault="000623F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Další formáty s průměrným ratingem </w:t>
            </w:r>
            <w:r w:rsidRPr="005F06A4">
              <w:rPr>
                <w:color w:val="auto"/>
                <w:sz w:val="22"/>
                <w:szCs w:val="22"/>
              </w:rPr>
              <w:t>&lt;2</w:t>
            </w:r>
            <w:r>
              <w:rPr>
                <w:color w:val="auto"/>
                <w:sz w:val="22"/>
                <w:szCs w:val="22"/>
              </w:rPr>
              <w:t>4</w:t>
            </w:r>
            <w:r w:rsidRPr="005F06A4">
              <w:rPr>
                <w:color w:val="auto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 euro</w:t>
            </w:r>
          </w:p>
        </w:tc>
        <w:tc>
          <w:tcPr>
            <w:tcW w:w="1547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25868" w:rsidTr="00A42A4C">
        <w:tc>
          <w:tcPr>
            <w:tcW w:w="2977" w:type="dxa"/>
          </w:tcPr>
          <w:p w:rsidR="00025868" w:rsidRDefault="000623F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Další formáty s průměrným ratingem &lt;250</w:t>
            </w:r>
            <w:r w:rsidRPr="005F06A4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 euro</w:t>
            </w:r>
          </w:p>
        </w:tc>
        <w:tc>
          <w:tcPr>
            <w:tcW w:w="1547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25868" w:rsidTr="00A42A4C">
        <w:tc>
          <w:tcPr>
            <w:tcW w:w="2977" w:type="dxa"/>
          </w:tcPr>
          <w:p w:rsidR="00025868" w:rsidRDefault="000623F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Další formáty s průměrným ratingem </w:t>
            </w:r>
            <w:r w:rsidRPr="005F06A4">
              <w:rPr>
                <w:color w:val="auto"/>
                <w:sz w:val="22"/>
                <w:szCs w:val="22"/>
              </w:rPr>
              <w:t>&lt;2</w:t>
            </w:r>
            <w:r>
              <w:rPr>
                <w:color w:val="auto"/>
                <w:sz w:val="22"/>
                <w:szCs w:val="22"/>
              </w:rPr>
              <w:t>6</w:t>
            </w:r>
            <w:r w:rsidRPr="005F06A4">
              <w:rPr>
                <w:color w:val="auto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 euro</w:t>
            </w:r>
          </w:p>
        </w:tc>
        <w:tc>
          <w:tcPr>
            <w:tcW w:w="1547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25868" w:rsidTr="00A42A4C">
        <w:tc>
          <w:tcPr>
            <w:tcW w:w="2977" w:type="dxa"/>
          </w:tcPr>
          <w:p w:rsidR="00025868" w:rsidRPr="000623F8" w:rsidRDefault="000623F8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Další formáty s průměrným ratingem </w:t>
            </w:r>
            <w:smartTag w:uri="urn:schemas-microsoft-com:office:smarttags" w:element="metricconverter">
              <w:smartTagPr>
                <w:attr w:name="ProductID" w:val="2600 a"/>
              </w:smartTagPr>
              <w:r w:rsidRPr="005F06A4">
                <w:rPr>
                  <w:color w:val="auto"/>
                  <w:sz w:val="22"/>
                  <w:szCs w:val="22"/>
                </w:rPr>
                <w:t>2</w:t>
              </w:r>
              <w:r>
                <w:rPr>
                  <w:color w:val="auto"/>
                  <w:sz w:val="22"/>
                  <w:szCs w:val="22"/>
                </w:rPr>
                <w:t>6</w:t>
              </w:r>
              <w:r w:rsidRPr="005F06A4">
                <w:rPr>
                  <w:color w:val="auto"/>
                  <w:sz w:val="22"/>
                  <w:szCs w:val="22"/>
                </w:rPr>
                <w:t>00</w:t>
              </w:r>
              <w:r>
                <w:rPr>
                  <w:color w:val="auto"/>
                  <w:sz w:val="22"/>
                  <w:szCs w:val="22"/>
                </w:rPr>
                <w:t xml:space="preserve"> a</w:t>
              </w:r>
            </w:smartTag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&lt;</w:t>
            </w:r>
          </w:p>
        </w:tc>
        <w:tc>
          <w:tcPr>
            <w:tcW w:w="992" w:type="dxa"/>
            <w:vAlign w:val="center"/>
          </w:tcPr>
          <w:p w:rsidR="00025868" w:rsidRDefault="005F06A4" w:rsidP="00062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150 euro</w:t>
            </w:r>
          </w:p>
        </w:tc>
        <w:tc>
          <w:tcPr>
            <w:tcW w:w="1547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25868" w:rsidRDefault="00025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025868" w:rsidRDefault="00025868">
      <w:pPr>
        <w:pStyle w:val="Default"/>
        <w:ind w:left="1120" w:hanging="560"/>
        <w:jc w:val="both"/>
        <w:rPr>
          <w:color w:val="auto"/>
          <w:sz w:val="22"/>
          <w:szCs w:val="22"/>
        </w:rPr>
      </w:pPr>
    </w:p>
    <w:p w:rsidR="003E2B5C" w:rsidRPr="003E2B5C" w:rsidRDefault="00C37871" w:rsidP="00C37871">
      <w:pPr>
        <w:pStyle w:val="Default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1.94.</w:t>
      </w:r>
      <w:r>
        <w:rPr>
          <w:color w:val="auto"/>
          <w:sz w:val="22"/>
          <w:szCs w:val="22"/>
        </w:rPr>
        <w:tab/>
      </w:r>
      <w:r w:rsidR="003E2B5C" w:rsidRPr="003E2B5C">
        <w:rPr>
          <w:color w:val="auto"/>
          <w:sz w:val="22"/>
          <w:szCs w:val="22"/>
        </w:rPr>
        <w:t xml:space="preserve">Zprávy musí obsahovat </w:t>
      </w:r>
      <w:r>
        <w:rPr>
          <w:color w:val="auto"/>
          <w:sz w:val="22"/>
          <w:szCs w:val="22"/>
        </w:rPr>
        <w:t xml:space="preserve">alespoň </w:t>
      </w:r>
      <w:r w:rsidR="003E2B5C" w:rsidRPr="003E2B5C">
        <w:rPr>
          <w:color w:val="auto"/>
          <w:sz w:val="22"/>
          <w:szCs w:val="22"/>
        </w:rPr>
        <w:t xml:space="preserve">databázi </w:t>
      </w:r>
      <w:r>
        <w:rPr>
          <w:color w:val="auto"/>
          <w:sz w:val="22"/>
          <w:szCs w:val="22"/>
        </w:rPr>
        <w:t xml:space="preserve">sehraných partií </w:t>
      </w:r>
      <w:r w:rsidR="003E2B5C" w:rsidRPr="003E2B5C">
        <w:rPr>
          <w:color w:val="auto"/>
          <w:sz w:val="22"/>
          <w:szCs w:val="22"/>
        </w:rPr>
        <w:t>těch hráč</w:t>
      </w:r>
      <w:r>
        <w:rPr>
          <w:color w:val="auto"/>
          <w:sz w:val="22"/>
          <w:szCs w:val="22"/>
        </w:rPr>
        <w:t>ů</w:t>
      </w:r>
      <w:r w:rsidR="003E2B5C" w:rsidRPr="003E2B5C">
        <w:rPr>
          <w:color w:val="auto"/>
          <w:sz w:val="22"/>
          <w:szCs w:val="22"/>
        </w:rPr>
        <w:t>, kteří dosáhli titulu.</w:t>
      </w:r>
    </w:p>
    <w:p w:rsidR="00BC425C" w:rsidRDefault="00BC425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A42A4C" w:rsidRDefault="00A42A4C">
      <w:pPr>
        <w:pStyle w:val="Default"/>
        <w:rPr>
          <w:color w:val="auto"/>
          <w:sz w:val="22"/>
          <w:szCs w:val="22"/>
        </w:rPr>
      </w:pPr>
    </w:p>
    <w:p w:rsidR="00BC425C" w:rsidRPr="00D762D3" w:rsidRDefault="00BC425C" w:rsidP="00954F34">
      <w:pPr>
        <w:pStyle w:val="Default"/>
        <w:ind w:left="567" w:hanging="567"/>
        <w:rPr>
          <w:b/>
          <w:color w:val="auto"/>
          <w:sz w:val="22"/>
          <w:szCs w:val="22"/>
        </w:rPr>
      </w:pPr>
      <w:r w:rsidRPr="00D762D3">
        <w:rPr>
          <w:b/>
          <w:color w:val="auto"/>
          <w:sz w:val="22"/>
          <w:szCs w:val="22"/>
        </w:rPr>
        <w:lastRenderedPageBreak/>
        <w:t xml:space="preserve">1.10 </w:t>
      </w:r>
      <w:r w:rsidR="00954F34">
        <w:rPr>
          <w:b/>
          <w:color w:val="auto"/>
          <w:sz w:val="22"/>
          <w:szCs w:val="22"/>
        </w:rPr>
        <w:tab/>
      </w:r>
      <w:r w:rsidRPr="00D762D3">
        <w:rPr>
          <w:b/>
          <w:color w:val="auto"/>
          <w:sz w:val="22"/>
          <w:szCs w:val="22"/>
        </w:rPr>
        <w:t>Proce</w:t>
      </w:r>
      <w:r w:rsidR="00244EF0">
        <w:rPr>
          <w:b/>
          <w:color w:val="auto"/>
          <w:sz w:val="22"/>
          <w:szCs w:val="22"/>
        </w:rPr>
        <w:t>dura žádosti pro hráčské tituly</w:t>
      </w:r>
    </w:p>
    <w:p w:rsidR="00BC425C" w:rsidRDefault="00BC425C">
      <w:pPr>
        <w:pStyle w:val="Default"/>
        <w:ind w:left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1276" w:hanging="71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1.10</w:t>
      </w:r>
      <w:r w:rsidR="00D762D3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Registrované tituly </w:t>
      </w:r>
    </w:p>
    <w:p w:rsidR="00BC425C" w:rsidRDefault="00954F34">
      <w:pPr>
        <w:pStyle w:val="Default"/>
        <w:ind w:left="1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Hlavní rozhodčí </w:t>
      </w:r>
      <w:r w:rsidR="00BC425C">
        <w:rPr>
          <w:color w:val="auto"/>
          <w:sz w:val="22"/>
          <w:szCs w:val="22"/>
        </w:rPr>
        <w:t xml:space="preserve">zasílá výsledky turnaje na sekretariát FIDE. Sekretariát společně s předsedou Klasifikační komise vytvoří listinu možných titulů. O této listině sekretariát FIDE informuje národní federace. Pokud federace akceptuje zisk titulu, pak je titul potvrzen. </w:t>
      </w:r>
    </w:p>
    <w:p w:rsidR="00BC425C" w:rsidRPr="00A42A4C" w:rsidRDefault="00BC425C">
      <w:pPr>
        <w:pStyle w:val="Default"/>
        <w:ind w:left="560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t xml:space="preserve"> </w:t>
      </w:r>
    </w:p>
    <w:p w:rsidR="00BC425C" w:rsidRDefault="00BC425C">
      <w:pPr>
        <w:pStyle w:val="Default"/>
        <w:ind w:left="1276" w:hanging="71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1.10</w:t>
      </w:r>
      <w:r w:rsidR="00D762D3">
        <w:rPr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Titulární žádosti </w:t>
      </w:r>
    </w:p>
    <w:p w:rsidR="00BC425C" w:rsidRDefault="00BC425C">
      <w:pPr>
        <w:pStyle w:val="Default"/>
        <w:ind w:left="1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Žádost musí být zaslána a podepsána národní federací hráče. Pokud federace hráče odmítá zaslat žádost na FIDE, pak hráč se může sám obrátit se žádosti na FIDE a zažádat (společně s provedením platby) o titul osobně. Všechny certifikáty musí být podepsané hlavním rozhodčím turnaje a představitele</w:t>
      </w:r>
      <w:r w:rsidR="00954F34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 xml:space="preserve"> federace</w:t>
      </w:r>
      <w:r w:rsidR="00954F34">
        <w:rPr>
          <w:color w:val="auto"/>
          <w:sz w:val="22"/>
          <w:szCs w:val="22"/>
        </w:rPr>
        <w:t>, který zodpovídá za turnaj</w:t>
      </w:r>
      <w:r>
        <w:rPr>
          <w:color w:val="auto"/>
          <w:sz w:val="22"/>
          <w:szCs w:val="22"/>
        </w:rPr>
        <w:t>.</w:t>
      </w:r>
    </w:p>
    <w:p w:rsidR="00BC425C" w:rsidRDefault="00BC425C">
      <w:pPr>
        <w:pStyle w:val="Default"/>
        <w:jc w:val="both"/>
        <w:rPr>
          <w:color w:val="auto"/>
          <w:sz w:val="22"/>
          <w:szCs w:val="22"/>
        </w:rPr>
      </w:pPr>
    </w:p>
    <w:p w:rsidR="00BC425C" w:rsidRDefault="00CD65AD" w:rsidP="00D701EF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CD65AD">
        <w:rPr>
          <w:b/>
          <w:color w:val="auto"/>
          <w:sz w:val="22"/>
          <w:szCs w:val="22"/>
        </w:rPr>
        <w:t>2</w:t>
      </w:r>
      <w:r w:rsidR="00BC425C" w:rsidRPr="00CD65AD">
        <w:rPr>
          <w:b/>
          <w:color w:val="auto"/>
          <w:sz w:val="22"/>
          <w:szCs w:val="22"/>
        </w:rPr>
        <w:t xml:space="preserve">. </w:t>
      </w:r>
      <w:r w:rsidR="00BC425C" w:rsidRPr="00CD65AD">
        <w:rPr>
          <w:b/>
          <w:color w:val="auto"/>
          <w:sz w:val="22"/>
          <w:szCs w:val="22"/>
        </w:rPr>
        <w:tab/>
        <w:t>Formuláře žádosti</w:t>
      </w:r>
      <w:r w:rsidR="00BC425C">
        <w:rPr>
          <w:color w:val="auto"/>
          <w:sz w:val="22"/>
          <w:szCs w:val="22"/>
        </w:rPr>
        <w:t xml:space="preserve"> o tituly jsou připojeny dále. Jsou to: </w:t>
      </w:r>
    </w:p>
    <w:p w:rsidR="00BC425C" w:rsidRDefault="00BC425C">
      <w:pPr>
        <w:ind w:left="980"/>
        <w:jc w:val="both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1846"/>
        <w:gridCol w:w="2610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854" w:type="dxa"/>
          </w:tcPr>
          <w:p w:rsidR="00BC425C" w:rsidRDefault="00BC425C">
            <w:pPr>
              <w:pStyle w:val="Default"/>
              <w:ind w:left="556" w:hanging="56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Název</w:t>
            </w:r>
          </w:p>
        </w:tc>
        <w:tc>
          <w:tcPr>
            <w:tcW w:w="1846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Formulář normy</w:t>
            </w:r>
          </w:p>
        </w:tc>
        <w:tc>
          <w:tcPr>
            <w:tcW w:w="2610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Formulář žádosti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854" w:type="dxa"/>
          </w:tcPr>
          <w:p w:rsidR="00BC425C" w:rsidRDefault="00BC425C">
            <w:pPr>
              <w:pStyle w:val="Default"/>
              <w:ind w:left="556" w:hanging="5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Certificate of Title Result</w:t>
            </w:r>
          </w:p>
        </w:tc>
        <w:tc>
          <w:tcPr>
            <w:tcW w:w="1846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IT1</w:t>
            </w:r>
          </w:p>
        </w:tc>
        <w:tc>
          <w:tcPr>
            <w:tcW w:w="2610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IT2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854" w:type="dxa"/>
          </w:tcPr>
          <w:p w:rsidR="00BC425C" w:rsidRDefault="00BC425C">
            <w:pPr>
              <w:pStyle w:val="Default"/>
              <w:ind w:left="556" w:hanging="5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Tournament Report Form</w:t>
            </w:r>
          </w:p>
        </w:tc>
        <w:tc>
          <w:tcPr>
            <w:tcW w:w="1846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IT3</w:t>
            </w:r>
          </w:p>
        </w:tc>
        <w:tc>
          <w:tcPr>
            <w:tcW w:w="2610" w:type="dxa"/>
          </w:tcPr>
          <w:p w:rsidR="00BC425C" w:rsidRDefault="00BC42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BC425C" w:rsidRPr="00A42A4C" w:rsidRDefault="00BC425C">
      <w:pPr>
        <w:pStyle w:val="Default"/>
        <w:ind w:left="980"/>
        <w:jc w:val="both"/>
        <w:rPr>
          <w:color w:val="auto"/>
          <w:sz w:val="12"/>
          <w:szCs w:val="12"/>
        </w:rPr>
      </w:pPr>
    </w:p>
    <w:p w:rsidR="00BC425C" w:rsidRDefault="00CD65AD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C425C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BC425C">
        <w:rPr>
          <w:sz w:val="22"/>
          <w:szCs w:val="22"/>
        </w:rPr>
        <w:t xml:space="preserve"> Žádosti o tyto tituly musí být připraveny na těchto formulářích a musí obsahovat všechny požadované informace společně se žádostí: </w:t>
      </w:r>
    </w:p>
    <w:p w:rsidR="00BC425C" w:rsidRPr="00A42A4C" w:rsidRDefault="00BC425C">
      <w:pPr>
        <w:pStyle w:val="Default"/>
        <w:ind w:left="1440" w:hanging="560"/>
        <w:jc w:val="both"/>
        <w:rPr>
          <w:color w:val="auto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3879"/>
      </w:tblGrid>
      <w:tr w:rsidR="00BC425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55" w:type="dxa"/>
          </w:tcPr>
          <w:p w:rsidR="00BC425C" w:rsidRDefault="00BC425C">
            <w:pPr>
              <w:pStyle w:val="Default"/>
              <w:ind w:left="556" w:hanging="5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</w:t>
            </w:r>
          </w:p>
        </w:tc>
        <w:tc>
          <w:tcPr>
            <w:tcW w:w="3879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IT2, IT1 s křížovými tabulkami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55" w:type="dxa"/>
          </w:tcPr>
          <w:p w:rsidR="00BC425C" w:rsidRDefault="00BC425C">
            <w:pPr>
              <w:pStyle w:val="Default"/>
              <w:ind w:left="556" w:hanging="5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IM</w:t>
            </w:r>
          </w:p>
        </w:tc>
        <w:tc>
          <w:tcPr>
            <w:tcW w:w="3879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IT2, IT1 s křížovými tabulkami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55" w:type="dxa"/>
          </w:tcPr>
          <w:p w:rsidR="00BC425C" w:rsidRDefault="00BC425C">
            <w:pPr>
              <w:pStyle w:val="Default"/>
              <w:ind w:left="556" w:hanging="5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WGM</w:t>
            </w:r>
          </w:p>
        </w:tc>
        <w:tc>
          <w:tcPr>
            <w:tcW w:w="3879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IT2, IT1 s křížovými tabulkami</w:t>
            </w:r>
          </w:p>
        </w:tc>
      </w:tr>
      <w:tr w:rsidR="00BC425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55" w:type="dxa"/>
          </w:tcPr>
          <w:p w:rsidR="00BC425C" w:rsidRDefault="00BC425C">
            <w:pPr>
              <w:pStyle w:val="Default"/>
              <w:ind w:left="556" w:hanging="5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WIM</w:t>
            </w:r>
          </w:p>
        </w:tc>
        <w:tc>
          <w:tcPr>
            <w:tcW w:w="3879" w:type="dxa"/>
          </w:tcPr>
          <w:p w:rsidR="00BC425C" w:rsidRDefault="00BC42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IT2, IT1 s křížovými </w:t>
            </w:r>
          </w:p>
        </w:tc>
      </w:tr>
    </w:tbl>
    <w:p w:rsidR="00BC425C" w:rsidRPr="00A42A4C" w:rsidRDefault="00BC425C">
      <w:pPr>
        <w:pStyle w:val="Default"/>
        <w:ind w:left="1120" w:hanging="560"/>
        <w:jc w:val="both"/>
        <w:rPr>
          <w:color w:val="auto"/>
          <w:sz w:val="12"/>
          <w:szCs w:val="12"/>
        </w:rPr>
      </w:pPr>
    </w:p>
    <w:p w:rsidR="00BC425C" w:rsidRDefault="00CD65AD">
      <w:pPr>
        <w:pStyle w:val="Default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BC425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2</w:t>
      </w:r>
      <w:r w:rsidR="00BC425C">
        <w:rPr>
          <w:color w:val="auto"/>
          <w:sz w:val="22"/>
          <w:szCs w:val="22"/>
        </w:rPr>
        <w:t xml:space="preserve"> </w:t>
      </w:r>
      <w:r w:rsidR="00BC425C">
        <w:rPr>
          <w:color w:val="auto"/>
          <w:sz w:val="22"/>
          <w:szCs w:val="22"/>
        </w:rPr>
        <w:tab/>
        <w:t>Žádost musí být přijata po předchozím příslušném posouzení federace žadatele. Národní federace je zodpovědná za úhradu poplatku.</w:t>
      </w:r>
    </w:p>
    <w:p w:rsidR="00CD65AD" w:rsidRPr="00A42A4C" w:rsidRDefault="00CD65AD">
      <w:pPr>
        <w:pStyle w:val="Default"/>
        <w:ind w:left="709" w:hanging="425"/>
        <w:jc w:val="both"/>
        <w:rPr>
          <w:color w:val="auto"/>
          <w:sz w:val="12"/>
          <w:szCs w:val="12"/>
        </w:rPr>
      </w:pPr>
    </w:p>
    <w:p w:rsidR="00BC425C" w:rsidRDefault="00CD65AD" w:rsidP="00D701EF">
      <w:pPr>
        <w:pStyle w:val="Default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BC425C">
        <w:rPr>
          <w:color w:val="auto"/>
          <w:sz w:val="22"/>
          <w:szCs w:val="22"/>
        </w:rPr>
        <w:t xml:space="preserve">.3 </w:t>
      </w:r>
      <w:r w:rsidR="00BC425C">
        <w:rPr>
          <w:color w:val="auto"/>
          <w:sz w:val="22"/>
          <w:szCs w:val="22"/>
        </w:rPr>
        <w:tab/>
        <w:t xml:space="preserve">Aby žádosti mohly být důkladně posouzeny, je uzávěrka pro žádosti 60 dní. Podání žádosti po tomto limitu znamená zvýšení poplatku o 50%. Podání žádosti v průběhu zasedání prezidentské rady, výkonného výboru nebo kongresu FIDE je účtováno se 100% příplatkem. </w:t>
      </w:r>
    </w:p>
    <w:p w:rsidR="00BC425C" w:rsidRDefault="00BC425C" w:rsidP="00D701EF">
      <w:pPr>
        <w:pStyle w:val="Default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Výjimka: od přirážky může být upuštěno, pokud byla poslední norma docílena tak pozdě, že časový limit nemohl být sledován </w:t>
      </w:r>
    </w:p>
    <w:p w:rsidR="00D701EF" w:rsidRPr="00A42A4C" w:rsidRDefault="00D701EF">
      <w:pPr>
        <w:pStyle w:val="Default"/>
        <w:ind w:left="1276" w:hanging="567"/>
        <w:jc w:val="both"/>
        <w:rPr>
          <w:color w:val="auto"/>
          <w:sz w:val="12"/>
          <w:szCs w:val="12"/>
        </w:rPr>
      </w:pPr>
    </w:p>
    <w:p w:rsidR="00BC425C" w:rsidRDefault="00BC33C1" w:rsidP="00BC33C1">
      <w:pPr>
        <w:pStyle w:val="Default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2.4</w:t>
      </w:r>
      <w:r>
        <w:rPr>
          <w:color w:val="auto"/>
          <w:sz w:val="22"/>
          <w:szCs w:val="22"/>
        </w:rPr>
        <w:tab/>
      </w:r>
      <w:r w:rsidR="00BC425C">
        <w:rPr>
          <w:color w:val="auto"/>
          <w:sz w:val="22"/>
          <w:szCs w:val="22"/>
        </w:rPr>
        <w:t xml:space="preserve">Všechny žádosti o titul spolu se všemi detaily musí být zaslány na webovou stránku FIDE minimálně 60 dní před uzávěrkou (proto aby mohly být podány případné námitky). </w:t>
      </w:r>
    </w:p>
    <w:p w:rsidR="00BC33C1" w:rsidRDefault="00BC33C1" w:rsidP="00BC33C1">
      <w:pPr>
        <w:pStyle w:val="Default"/>
        <w:jc w:val="both"/>
        <w:rPr>
          <w:color w:val="auto"/>
          <w:sz w:val="22"/>
          <w:szCs w:val="22"/>
        </w:rPr>
      </w:pPr>
    </w:p>
    <w:p w:rsidR="00BC33C1" w:rsidRPr="00BC33C1" w:rsidRDefault="00BC33C1" w:rsidP="00BC33C1">
      <w:pPr>
        <w:pStyle w:val="Default"/>
        <w:jc w:val="both"/>
        <w:rPr>
          <w:b/>
          <w:color w:val="auto"/>
          <w:sz w:val="22"/>
          <w:szCs w:val="22"/>
        </w:rPr>
      </w:pPr>
      <w:r w:rsidRPr="00BC33C1">
        <w:rPr>
          <w:b/>
          <w:color w:val="auto"/>
          <w:sz w:val="22"/>
          <w:szCs w:val="22"/>
        </w:rPr>
        <w:t xml:space="preserve">3.0. </w:t>
      </w:r>
      <w:r w:rsidRPr="00BC33C1">
        <w:rPr>
          <w:b/>
          <w:sz w:val="22"/>
          <w:szCs w:val="22"/>
        </w:rPr>
        <w:t>Seznam formulářů</w:t>
      </w:r>
    </w:p>
    <w:p w:rsidR="00BC33C1" w:rsidRPr="00BC33C1" w:rsidRDefault="00BC33C1" w:rsidP="00BC33C1">
      <w:pPr>
        <w:pStyle w:val="Default"/>
        <w:jc w:val="both"/>
        <w:rPr>
          <w:color w:val="auto"/>
          <w:sz w:val="22"/>
          <w:szCs w:val="22"/>
        </w:rPr>
      </w:pPr>
      <w:r w:rsidRPr="00BC33C1">
        <w:rPr>
          <w:color w:val="auto"/>
          <w:sz w:val="22"/>
          <w:szCs w:val="22"/>
        </w:rPr>
        <w:t xml:space="preserve"> </w:t>
      </w:r>
    </w:p>
    <w:p w:rsidR="00BC33C1" w:rsidRPr="00BC33C1" w:rsidRDefault="00BC33C1" w:rsidP="00A42A4C">
      <w:pPr>
        <w:pStyle w:val="Default"/>
        <w:jc w:val="both"/>
        <w:rPr>
          <w:color w:val="auto"/>
          <w:sz w:val="22"/>
          <w:szCs w:val="22"/>
        </w:rPr>
      </w:pPr>
      <w:r w:rsidRPr="00BC33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Pr="00BC33C1">
        <w:rPr>
          <w:color w:val="auto"/>
          <w:sz w:val="22"/>
          <w:szCs w:val="22"/>
        </w:rPr>
        <w:t>1. Certificate of title result IT1.</w:t>
      </w:r>
    </w:p>
    <w:p w:rsidR="00BC33C1" w:rsidRPr="00BC33C1" w:rsidRDefault="00BC33C1" w:rsidP="00A42A4C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BC33C1">
        <w:rPr>
          <w:color w:val="auto"/>
          <w:sz w:val="22"/>
          <w:szCs w:val="22"/>
        </w:rPr>
        <w:t>2. Title Application form IT2.</w:t>
      </w:r>
    </w:p>
    <w:p w:rsidR="00BC33C1" w:rsidRPr="00BC33C1" w:rsidRDefault="00BC33C1" w:rsidP="00A42A4C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BC33C1">
        <w:rPr>
          <w:color w:val="auto"/>
          <w:sz w:val="22"/>
          <w:szCs w:val="22"/>
        </w:rPr>
        <w:t>3. Tournament report form IT3.</w:t>
      </w:r>
    </w:p>
    <w:p w:rsidR="00BC33C1" w:rsidRDefault="00BC33C1" w:rsidP="00BC33C1">
      <w:pPr>
        <w:pStyle w:val="Default"/>
        <w:jc w:val="both"/>
        <w:rPr>
          <w:color w:val="auto"/>
          <w:sz w:val="22"/>
          <w:szCs w:val="22"/>
        </w:rPr>
      </w:pPr>
    </w:p>
    <w:p w:rsidR="00BC33C1" w:rsidRPr="00BC33C1" w:rsidRDefault="00BC33C1" w:rsidP="00BC33C1">
      <w:pPr>
        <w:pStyle w:val="Prosttext"/>
        <w:jc w:val="both"/>
        <w:rPr>
          <w:rFonts w:ascii="Arial" w:eastAsia="MS Mincho" w:hAnsi="Arial" w:cs="Arial"/>
          <w:sz w:val="22"/>
          <w:szCs w:val="22"/>
        </w:rPr>
      </w:pPr>
      <w:r w:rsidRPr="00BC33C1">
        <w:rPr>
          <w:rFonts w:ascii="Arial" w:eastAsia="MS Mincho" w:hAnsi="Arial" w:cs="Arial"/>
          <w:sz w:val="22"/>
          <w:szCs w:val="22"/>
        </w:rPr>
        <w:t xml:space="preserve">Text </w:t>
      </w:r>
      <w:r w:rsidR="00FE7F57">
        <w:rPr>
          <w:rFonts w:ascii="Arial" w:eastAsia="MS Mincho" w:hAnsi="Arial" w:cs="Arial"/>
          <w:sz w:val="22"/>
          <w:szCs w:val="22"/>
        </w:rPr>
        <w:t>překladu schválen VV ŠSČR dne 16</w:t>
      </w:r>
      <w:r w:rsidRPr="00BC33C1">
        <w:rPr>
          <w:rFonts w:ascii="Arial" w:eastAsia="MS Mincho" w:hAnsi="Arial" w:cs="Arial"/>
          <w:sz w:val="22"/>
          <w:szCs w:val="22"/>
        </w:rPr>
        <w:t xml:space="preserve">. 6. 2014. </w:t>
      </w:r>
      <w:r w:rsidRPr="00BC33C1">
        <w:rPr>
          <w:rFonts w:ascii="Arial" w:hAnsi="Arial" w:cs="Arial"/>
          <w:color w:val="000000"/>
          <w:sz w:val="22"/>
          <w:szCs w:val="22"/>
        </w:rPr>
        <w:t>Při rozporu mezi českým překladem a originální verzí platí anglický originál.</w:t>
      </w:r>
    </w:p>
    <w:p w:rsidR="00BC33C1" w:rsidRPr="00BC33C1" w:rsidRDefault="00BC33C1" w:rsidP="00BC33C1">
      <w:pPr>
        <w:pStyle w:val="Prosttext"/>
        <w:rPr>
          <w:rFonts w:ascii="Arial" w:eastAsia="MS Mincho" w:hAnsi="Arial" w:cs="Arial"/>
          <w:sz w:val="22"/>
          <w:szCs w:val="22"/>
        </w:rPr>
      </w:pPr>
    </w:p>
    <w:p w:rsidR="00BC33C1" w:rsidRPr="00BC33C1" w:rsidRDefault="00BC33C1" w:rsidP="00BC33C1">
      <w:pPr>
        <w:pStyle w:val="Prosttext"/>
        <w:ind w:left="1416" w:firstLine="708"/>
        <w:rPr>
          <w:rFonts w:ascii="Arial" w:eastAsia="MS Mincho" w:hAnsi="Arial" w:cs="Arial"/>
          <w:sz w:val="22"/>
          <w:szCs w:val="22"/>
        </w:rPr>
      </w:pPr>
      <w:r w:rsidRPr="00BC33C1">
        <w:rPr>
          <w:rFonts w:ascii="Arial" w:eastAsia="MS Mincho" w:hAnsi="Arial" w:cs="Arial"/>
          <w:sz w:val="22"/>
          <w:szCs w:val="22"/>
        </w:rPr>
        <w:tab/>
      </w:r>
      <w:r w:rsidRPr="00BC33C1">
        <w:rPr>
          <w:rFonts w:ascii="Arial" w:eastAsia="MS Mincho" w:hAnsi="Arial" w:cs="Arial"/>
          <w:sz w:val="22"/>
          <w:szCs w:val="22"/>
        </w:rPr>
        <w:tab/>
      </w:r>
      <w:r w:rsidRPr="00BC33C1">
        <w:rPr>
          <w:rFonts w:ascii="Arial" w:eastAsia="MS Mincho" w:hAnsi="Arial" w:cs="Arial"/>
          <w:sz w:val="22"/>
          <w:szCs w:val="22"/>
        </w:rPr>
        <w:tab/>
      </w:r>
      <w:r w:rsidRPr="00BC33C1">
        <w:rPr>
          <w:rFonts w:ascii="Arial" w:eastAsia="MS Mincho" w:hAnsi="Arial" w:cs="Arial"/>
          <w:sz w:val="22"/>
          <w:szCs w:val="22"/>
        </w:rPr>
        <w:tab/>
      </w:r>
      <w:r w:rsidRPr="00BC33C1">
        <w:rPr>
          <w:rFonts w:ascii="Arial" w:eastAsia="MS Mincho" w:hAnsi="Arial" w:cs="Arial"/>
          <w:sz w:val="22"/>
          <w:szCs w:val="22"/>
        </w:rPr>
        <w:tab/>
      </w:r>
      <w:r w:rsidRPr="00BC33C1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Pr="00BC33C1">
        <w:rPr>
          <w:rFonts w:ascii="Arial" w:eastAsia="MS Mincho" w:hAnsi="Arial" w:cs="Arial"/>
          <w:sz w:val="22"/>
          <w:szCs w:val="22"/>
        </w:rPr>
        <w:t>Viktor Novotný</w:t>
      </w:r>
    </w:p>
    <w:p w:rsidR="00BC33C1" w:rsidRDefault="00BC33C1" w:rsidP="00A42A4C">
      <w:pPr>
        <w:ind w:left="5664" w:firstLine="708"/>
      </w:pPr>
      <w:r w:rsidRPr="00BC33C1">
        <w:rPr>
          <w:rFonts w:eastAsia="MS Mincho"/>
        </w:rPr>
        <w:t xml:space="preserve"> předseda ŠSČR</w:t>
      </w:r>
    </w:p>
    <w:sectPr w:rsidR="00BC33C1">
      <w:type w:val="continuous"/>
      <w:pgSz w:w="11905" w:h="16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77DC2"/>
    <w:multiLevelType w:val="multilevel"/>
    <w:tmpl w:val="97DEA2E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1">
      <w:start w:val="17"/>
      <w:numFmt w:val="decimal"/>
      <w:lvlText w:val="%1.%2"/>
      <w:lvlJc w:val="left"/>
      <w:pPr>
        <w:tabs>
          <w:tab w:val="num" w:pos="1130"/>
        </w:tabs>
        <w:ind w:left="113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40"/>
        </w:tabs>
        <w:ind w:left="1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400"/>
        </w:tabs>
        <w:ind w:left="24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320"/>
        </w:tabs>
        <w:ind w:left="3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880"/>
        </w:tabs>
        <w:ind w:left="3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800"/>
        </w:tabs>
        <w:ind w:left="4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360"/>
        </w:tabs>
        <w:ind w:left="53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280"/>
        </w:tabs>
        <w:ind w:left="6280" w:hanging="1800"/>
      </w:pPr>
      <w:rPr>
        <w:rFonts w:cs="Times New Roman" w:hint="default"/>
        <w:b w:val="0"/>
      </w:rPr>
    </w:lvl>
  </w:abstractNum>
  <w:abstractNum w:abstractNumId="1">
    <w:nsid w:val="2D554624"/>
    <w:multiLevelType w:val="multilevel"/>
    <w:tmpl w:val="20BE7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4"/>
      <w:numFmt w:val="decimal"/>
      <w:lvlText w:val="%1.%2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40"/>
        </w:tabs>
        <w:ind w:left="1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20"/>
        </w:tabs>
        <w:ind w:left="3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880"/>
        </w:tabs>
        <w:ind w:left="3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60"/>
        </w:tabs>
        <w:ind w:left="53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80"/>
        </w:tabs>
        <w:ind w:left="6280" w:hanging="1800"/>
      </w:pPr>
      <w:rPr>
        <w:rFonts w:cs="Times New Roman" w:hint="default"/>
      </w:rPr>
    </w:lvl>
  </w:abstractNum>
  <w:abstractNum w:abstractNumId="2">
    <w:nsid w:val="34F269BC"/>
    <w:multiLevelType w:val="multilevel"/>
    <w:tmpl w:val="63B45E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>
    <w:nsid w:val="43583699"/>
    <w:multiLevelType w:val="multilevel"/>
    <w:tmpl w:val="AF0E54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38"/>
    <w:rsid w:val="00025868"/>
    <w:rsid w:val="00027EC3"/>
    <w:rsid w:val="000623F8"/>
    <w:rsid w:val="000A1FD9"/>
    <w:rsid w:val="000C73AA"/>
    <w:rsid w:val="000E161F"/>
    <w:rsid w:val="000E4F1F"/>
    <w:rsid w:val="000F553D"/>
    <w:rsid w:val="00141D2C"/>
    <w:rsid w:val="00150EB0"/>
    <w:rsid w:val="00155538"/>
    <w:rsid w:val="00180783"/>
    <w:rsid w:val="001A47FB"/>
    <w:rsid w:val="001B3D6D"/>
    <w:rsid w:val="001D5BF1"/>
    <w:rsid w:val="001F6FD4"/>
    <w:rsid w:val="00237527"/>
    <w:rsid w:val="00244EF0"/>
    <w:rsid w:val="002B72B5"/>
    <w:rsid w:val="00334D06"/>
    <w:rsid w:val="003841B2"/>
    <w:rsid w:val="003C0FF7"/>
    <w:rsid w:val="003C427C"/>
    <w:rsid w:val="003E2B5C"/>
    <w:rsid w:val="003F1C7B"/>
    <w:rsid w:val="0041689F"/>
    <w:rsid w:val="00471351"/>
    <w:rsid w:val="004C02DA"/>
    <w:rsid w:val="004F4954"/>
    <w:rsid w:val="0055640C"/>
    <w:rsid w:val="005C000C"/>
    <w:rsid w:val="005F06A4"/>
    <w:rsid w:val="00693406"/>
    <w:rsid w:val="006C6576"/>
    <w:rsid w:val="006D2D2C"/>
    <w:rsid w:val="007538B4"/>
    <w:rsid w:val="007D649B"/>
    <w:rsid w:val="0084716B"/>
    <w:rsid w:val="00880408"/>
    <w:rsid w:val="008933C1"/>
    <w:rsid w:val="00896DFF"/>
    <w:rsid w:val="008A4D06"/>
    <w:rsid w:val="008D0630"/>
    <w:rsid w:val="008D7861"/>
    <w:rsid w:val="008F7B2B"/>
    <w:rsid w:val="0091443B"/>
    <w:rsid w:val="00954F34"/>
    <w:rsid w:val="009A41DA"/>
    <w:rsid w:val="009B21EF"/>
    <w:rsid w:val="009E32F6"/>
    <w:rsid w:val="00A118C4"/>
    <w:rsid w:val="00A2197A"/>
    <w:rsid w:val="00A35E87"/>
    <w:rsid w:val="00A42A4C"/>
    <w:rsid w:val="00A47A0F"/>
    <w:rsid w:val="00A73DFD"/>
    <w:rsid w:val="00A74B89"/>
    <w:rsid w:val="00A842BE"/>
    <w:rsid w:val="00A85FBC"/>
    <w:rsid w:val="00AA2640"/>
    <w:rsid w:val="00AC2DF1"/>
    <w:rsid w:val="00AF097D"/>
    <w:rsid w:val="00B43D32"/>
    <w:rsid w:val="00B44044"/>
    <w:rsid w:val="00B77370"/>
    <w:rsid w:val="00BB7DA1"/>
    <w:rsid w:val="00BC33C1"/>
    <w:rsid w:val="00BC425C"/>
    <w:rsid w:val="00C17F0C"/>
    <w:rsid w:val="00C37871"/>
    <w:rsid w:val="00CA448A"/>
    <w:rsid w:val="00CD1D0E"/>
    <w:rsid w:val="00CD3D66"/>
    <w:rsid w:val="00CD65AD"/>
    <w:rsid w:val="00CE70C1"/>
    <w:rsid w:val="00CF1B93"/>
    <w:rsid w:val="00D162D1"/>
    <w:rsid w:val="00D40B99"/>
    <w:rsid w:val="00D63ABD"/>
    <w:rsid w:val="00D701EF"/>
    <w:rsid w:val="00D762D3"/>
    <w:rsid w:val="00DA037C"/>
    <w:rsid w:val="00DB09E2"/>
    <w:rsid w:val="00DE3716"/>
    <w:rsid w:val="00E237D1"/>
    <w:rsid w:val="00E31594"/>
    <w:rsid w:val="00E4151C"/>
    <w:rsid w:val="00E85F9F"/>
    <w:rsid w:val="00E97AC2"/>
    <w:rsid w:val="00EC4AB2"/>
    <w:rsid w:val="00F558E8"/>
    <w:rsid w:val="00FB12F2"/>
    <w:rsid w:val="00FE3A56"/>
    <w:rsid w:val="00FE7F57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84A040-4EE9-4EAA-8922-C7B5CAB5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4">
    <w:name w:val="heading 4"/>
    <w:basedOn w:val="Default"/>
    <w:next w:val="Default"/>
    <w:link w:val="Nadpis4Char"/>
    <w:uiPriority w:val="99"/>
    <w:qFormat/>
    <w:pPr>
      <w:outlineLvl w:val="3"/>
    </w:pPr>
    <w:rPr>
      <w:color w:val="auto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pproved">
    <w:name w:val="approved"/>
    <w:basedOn w:val="Default"/>
    <w:next w:val="Default"/>
    <w:uiPriority w:val="99"/>
    <w:rPr>
      <w:color w:val="auto"/>
    </w:rPr>
  </w:style>
  <w:style w:type="paragraph" w:styleId="Zkladntext2">
    <w:name w:val="Body Text 2"/>
    <w:basedOn w:val="Default"/>
    <w:next w:val="Default"/>
    <w:link w:val="Zkladntext2Char"/>
    <w:uiPriority w:val="99"/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tyleArial12ptLinespacing15lines">
    <w:name w:val="Style Arial 12 pt Line spacing:  1.5 lines"/>
    <w:basedOn w:val="Default"/>
    <w:next w:val="Default"/>
    <w:uiPriority w:val="99"/>
    <w:rPr>
      <w:color w:val="auto"/>
    </w:rPr>
  </w:style>
  <w:style w:type="paragraph" w:customStyle="1" w:styleId="StyleLinespacing15linesChar">
    <w:name w:val="Style Line spacing:  1.5 lines Char"/>
    <w:basedOn w:val="Default"/>
    <w:next w:val="Default"/>
    <w:uiPriority w:val="99"/>
    <w:rPr>
      <w:color w:val="auto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pPr>
      <w:ind w:left="1134" w:hanging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1134" w:hanging="14"/>
      <w:jc w:val="both"/>
    </w:pPr>
    <w:rPr>
      <w:color w:val="00008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rsid w:val="001A4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99"/>
    <w:qFormat/>
    <w:rsid w:val="001A47FB"/>
    <w:rPr>
      <w:rFonts w:cs="Times New Roman"/>
      <w:b/>
    </w:rPr>
  </w:style>
  <w:style w:type="table" w:styleId="Mkatabulky">
    <w:name w:val="Table Grid"/>
    <w:basedOn w:val="Normlntabulka"/>
    <w:uiPriority w:val="99"/>
    <w:locked/>
    <w:rsid w:val="00025868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uiPriority w:val="99"/>
    <w:rsid w:val="00E237D1"/>
    <w:rPr>
      <w:rFonts w:cs="Times New Roman"/>
    </w:rPr>
  </w:style>
  <w:style w:type="character" w:customStyle="1" w:styleId="hpsatn">
    <w:name w:val="hps atn"/>
    <w:basedOn w:val="Standardnpsmoodstavce"/>
    <w:uiPriority w:val="99"/>
    <w:rsid w:val="00E237D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33C1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7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791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791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1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7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791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791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791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5080</Words>
  <Characters>29973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Titelbestimmungen der FIDE</vt:lpstr>
    </vt:vector>
  </TitlesOfParts>
  <Company>POLYMER INSTITUTE BRNO, spol. s r.o.</Company>
  <LinksUpToDate>false</LinksUpToDate>
  <CharactersWithSpaces>34984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Titelbestimmungen der FIDE</dc:title>
  <dc:subject/>
  <dc:creator>Werner STUBENVOLL</dc:creator>
  <cp:keywords/>
  <dc:description/>
  <cp:lastModifiedBy>Jan Kolašín</cp:lastModifiedBy>
  <cp:revision>2</cp:revision>
  <dcterms:created xsi:type="dcterms:W3CDTF">2014-06-25T08:57:00Z</dcterms:created>
  <dcterms:modified xsi:type="dcterms:W3CDTF">2014-06-25T08:57:00Z</dcterms:modified>
</cp:coreProperties>
</file>